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10" w:rsidRDefault="00174B10" w:rsidP="005A7E4A">
      <w:pPr>
        <w:adjustRightInd w:val="0"/>
        <w:snapToGrid w:val="0"/>
        <w:jc w:val="left"/>
        <w:rPr>
          <w:rFonts w:ascii="Times New Roman" w:hAnsi="Times New Roman" w:cs="Times New Roman"/>
          <w:b/>
          <w:bCs/>
          <w:w w:val="105"/>
          <w:sz w:val="30"/>
          <w:szCs w:val="30"/>
        </w:rPr>
      </w:pPr>
      <w:r>
        <w:rPr>
          <w:rFonts w:ascii="Times New Roman" w:hAnsi="Times New Roman" w:cs="Times New Roman" w:hint="eastAsia"/>
          <w:b/>
          <w:bCs/>
          <w:w w:val="105"/>
          <w:sz w:val="30"/>
          <w:szCs w:val="30"/>
        </w:rPr>
        <w:t>V</w:t>
      </w:r>
      <w:r>
        <w:rPr>
          <w:rFonts w:ascii="Times New Roman" w:hAnsi="Times New Roman" w:cs="Times New Roman"/>
          <w:b/>
          <w:bCs/>
          <w:w w:val="105"/>
          <w:sz w:val="30"/>
          <w:szCs w:val="30"/>
        </w:rPr>
        <w:t>irologica Sinica</w:t>
      </w:r>
    </w:p>
    <w:p w:rsidR="00174B10" w:rsidRDefault="00174B10" w:rsidP="005A7E4A">
      <w:pPr>
        <w:adjustRightInd w:val="0"/>
        <w:snapToGrid w:val="0"/>
        <w:jc w:val="left"/>
        <w:rPr>
          <w:rFonts w:ascii="Times New Roman" w:hAnsi="Times New Roman" w:cs="Times New Roman"/>
          <w:b/>
          <w:bCs/>
          <w:w w:val="105"/>
          <w:sz w:val="30"/>
          <w:szCs w:val="30"/>
        </w:rPr>
      </w:pPr>
    </w:p>
    <w:p w:rsidR="00174B10" w:rsidRPr="00AA1994" w:rsidRDefault="00174B10" w:rsidP="005A7E4A">
      <w:pPr>
        <w:adjustRightInd w:val="0"/>
        <w:snapToGrid w:val="0"/>
        <w:jc w:val="left"/>
        <w:rPr>
          <w:rFonts w:ascii="Times New Roman" w:hAnsi="Times New Roman" w:cs="Times New Roman"/>
          <w:b/>
          <w:bCs/>
          <w:w w:val="105"/>
          <w:sz w:val="30"/>
          <w:szCs w:val="30"/>
        </w:rPr>
      </w:pPr>
      <w:r w:rsidRPr="00AA1994">
        <w:rPr>
          <w:rFonts w:ascii="Times New Roman" w:hAnsi="Times New Roman" w:cs="Times New Roman"/>
          <w:b/>
          <w:bCs/>
          <w:w w:val="105"/>
          <w:sz w:val="30"/>
          <w:szCs w:val="30"/>
        </w:rPr>
        <w:t>Supplementary Data</w:t>
      </w:r>
    </w:p>
    <w:p w:rsidR="00174B10" w:rsidRPr="00AA1994" w:rsidRDefault="00174B10"/>
    <w:p w:rsidR="00174B10" w:rsidRPr="00473B9F" w:rsidRDefault="00174B10" w:rsidP="00881A3F">
      <w:pPr>
        <w:adjustRightInd w:val="0"/>
        <w:snapToGrid w:val="0"/>
        <w:spacing w:line="360" w:lineRule="auto"/>
        <w:rPr>
          <w:rFonts w:ascii="Times New Roman" w:hAnsi="Times New Roman" w:cs="Times New Roman"/>
          <w:b/>
          <w:kern w:val="0"/>
          <w:sz w:val="32"/>
          <w:szCs w:val="32"/>
        </w:rPr>
      </w:pPr>
      <w:r w:rsidRPr="00473B9F">
        <w:rPr>
          <w:rFonts w:ascii="Times New Roman" w:hAnsi="Times New Roman" w:cs="Times New Roman"/>
          <w:b/>
          <w:kern w:val="0"/>
          <w:sz w:val="32"/>
          <w:szCs w:val="32"/>
        </w:rPr>
        <w:t>Seroprevalence of neutralizing antibodies against HFMD associated enteroviruses among healthy individuals in Shanghai, China, 2022</w:t>
      </w:r>
    </w:p>
    <w:p w:rsidR="00174B10" w:rsidRPr="00473B9F" w:rsidRDefault="00174B10" w:rsidP="00881A3F">
      <w:pPr>
        <w:adjustRightInd w:val="0"/>
        <w:snapToGrid w:val="0"/>
        <w:spacing w:line="360" w:lineRule="auto"/>
        <w:rPr>
          <w:rFonts w:ascii="Times New Roman" w:hAnsi="Times New Roman" w:cs="Times New Roman"/>
          <w:b/>
          <w:kern w:val="0"/>
          <w:sz w:val="32"/>
          <w:szCs w:val="32"/>
        </w:rPr>
      </w:pPr>
    </w:p>
    <w:p w:rsidR="00174B10" w:rsidRPr="00473B9F" w:rsidRDefault="00174B10" w:rsidP="00881A3F">
      <w:pPr>
        <w:pStyle w:val="AuthorList"/>
        <w:adjustRightInd w:val="0"/>
        <w:snapToGrid w:val="0"/>
        <w:spacing w:before="0" w:after="0" w:line="360" w:lineRule="auto"/>
        <w:jc w:val="both"/>
        <w:rPr>
          <w:b w:val="0"/>
          <w:vertAlign w:val="superscript"/>
        </w:rPr>
      </w:pPr>
      <w:r w:rsidRPr="00473B9F">
        <w:rPr>
          <w:b w:val="0"/>
        </w:rPr>
        <w:t>Jiayu Wang</w:t>
      </w:r>
      <w:r w:rsidRPr="00473B9F">
        <w:rPr>
          <w:b w:val="0"/>
          <w:vertAlign w:val="superscript"/>
        </w:rPr>
        <w:t xml:space="preserve"> a, 1</w:t>
      </w:r>
      <w:r w:rsidRPr="00473B9F">
        <w:rPr>
          <w:b w:val="0"/>
        </w:rPr>
        <w:t>, Wencheng Wu</w:t>
      </w:r>
      <w:r w:rsidRPr="00473B9F">
        <w:rPr>
          <w:b w:val="0"/>
          <w:vertAlign w:val="superscript"/>
        </w:rPr>
        <w:t xml:space="preserve"> a, 1</w:t>
      </w:r>
      <w:r w:rsidRPr="00473B9F">
        <w:rPr>
          <w:b w:val="0"/>
        </w:rPr>
        <w:t>, Wei Wang</w:t>
      </w:r>
      <w:r w:rsidRPr="00473B9F">
        <w:rPr>
          <w:b w:val="0"/>
          <w:vertAlign w:val="superscript"/>
        </w:rPr>
        <w:t xml:space="preserve"> a</w:t>
      </w:r>
      <w:r w:rsidRPr="00473B9F">
        <w:rPr>
          <w:b w:val="0"/>
        </w:rPr>
        <w:t>, Jingyi Zhang</w:t>
      </w:r>
      <w:r w:rsidRPr="00473B9F">
        <w:rPr>
          <w:b w:val="0"/>
          <w:vertAlign w:val="superscript"/>
        </w:rPr>
        <w:t xml:space="preserve"> a</w:t>
      </w:r>
      <w:r w:rsidRPr="00473B9F">
        <w:rPr>
          <w:b w:val="0"/>
        </w:rPr>
        <w:t>,</w:t>
      </w:r>
      <w:r w:rsidRPr="00473B9F">
        <w:rPr>
          <w:b w:val="0"/>
          <w:lang w:eastAsia="zh-CN"/>
        </w:rPr>
        <w:t xml:space="preserve"> Jianwei Xiao </w:t>
      </w:r>
      <w:r w:rsidRPr="00473B9F">
        <w:rPr>
          <w:b w:val="0"/>
          <w:vertAlign w:val="superscript"/>
          <w:lang w:eastAsia="zh-CN"/>
        </w:rPr>
        <w:t>b</w:t>
      </w:r>
      <w:r w:rsidRPr="00473B9F">
        <w:rPr>
          <w:b w:val="0"/>
          <w:lang w:eastAsia="zh-CN"/>
        </w:rPr>
        <w:t>, Mingyi Cai</w:t>
      </w:r>
      <w:r w:rsidRPr="00473B9F">
        <w:rPr>
          <w:b w:val="0"/>
          <w:vertAlign w:val="superscript"/>
          <w:lang w:eastAsia="zh-CN"/>
        </w:rPr>
        <w:t xml:space="preserve"> c</w:t>
      </w:r>
      <w:r w:rsidRPr="00473B9F">
        <w:rPr>
          <w:b w:val="0"/>
          <w:lang w:eastAsia="zh-CN"/>
        </w:rPr>
        <w:t>, Jiaying Guo</w:t>
      </w:r>
      <w:r w:rsidRPr="00473B9F">
        <w:rPr>
          <w:b w:val="0"/>
          <w:vertAlign w:val="superscript"/>
          <w:lang w:eastAsia="zh-CN"/>
        </w:rPr>
        <w:t xml:space="preserve"> d</w:t>
      </w:r>
      <w:r w:rsidRPr="00473B9F">
        <w:rPr>
          <w:b w:val="0"/>
          <w:lang w:eastAsia="zh-CN"/>
        </w:rPr>
        <w:t xml:space="preserve">, </w:t>
      </w:r>
      <w:r w:rsidRPr="00473B9F">
        <w:rPr>
          <w:b w:val="0"/>
        </w:rPr>
        <w:t>Run Li</w:t>
      </w:r>
      <w:r w:rsidRPr="00473B9F">
        <w:rPr>
          <w:b w:val="0"/>
          <w:vertAlign w:val="superscript"/>
        </w:rPr>
        <w:t xml:space="preserve"> a</w:t>
      </w:r>
      <w:r w:rsidRPr="00473B9F">
        <w:rPr>
          <w:b w:val="0"/>
        </w:rPr>
        <w:t>,</w:t>
      </w:r>
      <w:r w:rsidRPr="00473B9F">
        <w:rPr>
          <w:b w:val="0"/>
          <w:lang w:eastAsia="zh-CN"/>
        </w:rPr>
        <w:t xml:space="preserve"> </w:t>
      </w:r>
      <w:r w:rsidRPr="00473B9F">
        <w:rPr>
          <w:b w:val="0"/>
        </w:rPr>
        <w:t>Shuangli Zhu</w:t>
      </w:r>
      <w:r w:rsidRPr="00473B9F">
        <w:rPr>
          <w:b w:val="0"/>
          <w:vertAlign w:val="superscript"/>
          <w:lang w:eastAsia="zh-CN"/>
        </w:rPr>
        <w:t xml:space="preserve"> e</w:t>
      </w:r>
      <w:r w:rsidRPr="00473B9F">
        <w:rPr>
          <w:b w:val="0"/>
        </w:rPr>
        <w:t>, Wanju Zhang</w:t>
      </w:r>
      <w:r w:rsidRPr="00473B9F">
        <w:rPr>
          <w:b w:val="0"/>
          <w:vertAlign w:val="superscript"/>
        </w:rPr>
        <w:t xml:space="preserve"> a</w:t>
      </w:r>
      <w:r w:rsidRPr="00473B9F">
        <w:rPr>
          <w:b w:val="0"/>
        </w:rPr>
        <w:t>,</w:t>
      </w:r>
      <w:r w:rsidRPr="00473B9F">
        <w:rPr>
          <w:b w:val="0"/>
          <w:lang w:eastAsia="zh-CN"/>
        </w:rPr>
        <w:t xml:space="preserve"> Min Chen</w:t>
      </w:r>
      <w:r w:rsidRPr="00473B9F">
        <w:rPr>
          <w:b w:val="0"/>
          <w:vertAlign w:val="superscript"/>
        </w:rPr>
        <w:t xml:space="preserve"> a</w:t>
      </w:r>
      <w:r w:rsidRPr="00473B9F">
        <w:rPr>
          <w:b w:val="0"/>
        </w:rPr>
        <w:t>, Zheng</w:t>
      </w:r>
      <w:r w:rsidRPr="00473B9F">
        <w:rPr>
          <w:b w:val="0"/>
          <w:lang w:eastAsia="zh-CN"/>
        </w:rPr>
        <w:t xml:space="preserve"> </w:t>
      </w:r>
      <w:r w:rsidRPr="00473B9F">
        <w:rPr>
          <w:b w:val="0"/>
        </w:rPr>
        <w:t xml:space="preserve">Teng </w:t>
      </w:r>
      <w:r w:rsidRPr="00473B9F">
        <w:rPr>
          <w:b w:val="0"/>
          <w:vertAlign w:val="superscript"/>
        </w:rPr>
        <w:t>a, *</w:t>
      </w:r>
    </w:p>
    <w:p w:rsidR="00174B10" w:rsidRPr="00473B9F" w:rsidRDefault="00174B10" w:rsidP="00881A3F">
      <w:pPr>
        <w:rPr>
          <w:rFonts w:ascii="Times New Roman" w:hAnsi="Times New Roman" w:cs="Times New Roman"/>
          <w:lang w:eastAsia="en-US"/>
        </w:rPr>
      </w:pPr>
    </w:p>
    <w:p w:rsidR="00174B10" w:rsidRPr="00473B9F" w:rsidRDefault="00174B10" w:rsidP="00881A3F">
      <w:pPr>
        <w:widowControl/>
        <w:adjustRightInd w:val="0"/>
        <w:snapToGrid w:val="0"/>
        <w:spacing w:line="360" w:lineRule="auto"/>
        <w:rPr>
          <w:rFonts w:ascii="Times New Roman" w:hAnsi="Times New Roman" w:cs="Times New Roman"/>
          <w:kern w:val="0"/>
          <w:sz w:val="22"/>
        </w:rPr>
      </w:pPr>
      <w:r w:rsidRPr="00473B9F">
        <w:rPr>
          <w:rFonts w:ascii="Times New Roman" w:hAnsi="Times New Roman" w:cs="Times New Roman"/>
          <w:kern w:val="0"/>
          <w:sz w:val="22"/>
          <w:vertAlign w:val="superscript"/>
          <w:lang w:eastAsia="en-US"/>
        </w:rPr>
        <w:t xml:space="preserve">a </w:t>
      </w:r>
      <w:r w:rsidRPr="00473B9F">
        <w:rPr>
          <w:rFonts w:ascii="Times New Roman" w:hAnsi="Times New Roman" w:cs="Times New Roman"/>
          <w:kern w:val="0"/>
          <w:sz w:val="22"/>
          <w:lang w:eastAsia="en-US"/>
        </w:rPr>
        <w:t>Microbiology Department, Shanghai Municipal Center for Disease Control and Prevention, Shanghai, 200336, China</w:t>
      </w:r>
    </w:p>
    <w:p w:rsidR="00174B10" w:rsidRPr="006972F4" w:rsidRDefault="00174B10" w:rsidP="00881A3F">
      <w:pPr>
        <w:widowControl/>
        <w:adjustRightInd w:val="0"/>
        <w:snapToGrid w:val="0"/>
        <w:spacing w:line="360" w:lineRule="auto"/>
        <w:rPr>
          <w:rFonts w:ascii="Times New Roman" w:hAnsi="Times New Roman" w:cs="Times New Roman"/>
          <w:kern w:val="0"/>
          <w:sz w:val="22"/>
        </w:rPr>
      </w:pPr>
      <w:r w:rsidRPr="006972F4">
        <w:rPr>
          <w:rFonts w:ascii="Times New Roman" w:hAnsi="Times New Roman" w:cs="Times New Roman"/>
          <w:kern w:val="0"/>
          <w:sz w:val="22"/>
          <w:vertAlign w:val="superscript"/>
          <w:lang w:eastAsia="en-US"/>
        </w:rPr>
        <w:t xml:space="preserve">b </w:t>
      </w:r>
      <w:r w:rsidRPr="006972F4">
        <w:rPr>
          <w:rFonts w:ascii="Times New Roman" w:hAnsi="Times New Roman" w:cs="Times New Roman"/>
          <w:kern w:val="0"/>
          <w:sz w:val="22"/>
          <w:lang w:eastAsia="en-US"/>
        </w:rPr>
        <w:t xml:space="preserve">Microbiology Department, </w:t>
      </w:r>
      <w:r w:rsidRPr="006972F4">
        <w:rPr>
          <w:rFonts w:ascii="Times New Roman" w:hAnsi="Times New Roman" w:cs="Times New Roman"/>
          <w:kern w:val="0"/>
          <w:sz w:val="22"/>
        </w:rPr>
        <w:t>Yangpu</w:t>
      </w:r>
      <w:r w:rsidRPr="006972F4">
        <w:rPr>
          <w:rFonts w:ascii="Times New Roman" w:hAnsi="Times New Roman" w:cs="Times New Roman"/>
          <w:kern w:val="0"/>
          <w:sz w:val="22"/>
          <w:lang w:eastAsia="en-US"/>
        </w:rPr>
        <w:t xml:space="preserve"> Municipal Center for Disease Control and Prevention, Shanghai, 200</w:t>
      </w:r>
      <w:r w:rsidRPr="006972F4">
        <w:rPr>
          <w:rFonts w:ascii="Times New Roman" w:hAnsi="Times New Roman" w:cs="Times New Roman"/>
          <w:kern w:val="0"/>
          <w:sz w:val="22"/>
        </w:rPr>
        <w:t>090</w:t>
      </w:r>
      <w:r w:rsidRPr="006972F4">
        <w:rPr>
          <w:rFonts w:ascii="Times New Roman" w:hAnsi="Times New Roman" w:cs="Times New Roman"/>
          <w:kern w:val="0"/>
          <w:sz w:val="22"/>
          <w:lang w:eastAsia="en-US"/>
        </w:rPr>
        <w:t>, China</w:t>
      </w:r>
    </w:p>
    <w:p w:rsidR="00174B10" w:rsidRPr="006972F4" w:rsidRDefault="00174B10" w:rsidP="00881A3F">
      <w:pPr>
        <w:widowControl/>
        <w:adjustRightInd w:val="0"/>
        <w:snapToGrid w:val="0"/>
        <w:spacing w:line="360" w:lineRule="auto"/>
        <w:rPr>
          <w:rFonts w:ascii="Times New Roman" w:hAnsi="Times New Roman" w:cs="Times New Roman"/>
          <w:kern w:val="0"/>
          <w:sz w:val="22"/>
        </w:rPr>
      </w:pPr>
      <w:r w:rsidRPr="006972F4">
        <w:rPr>
          <w:rFonts w:ascii="Times New Roman" w:hAnsi="Times New Roman" w:cs="Times New Roman"/>
          <w:kern w:val="0"/>
          <w:sz w:val="22"/>
          <w:vertAlign w:val="superscript"/>
        </w:rPr>
        <w:t xml:space="preserve">c </w:t>
      </w:r>
      <w:r w:rsidRPr="006972F4">
        <w:rPr>
          <w:rFonts w:ascii="Times New Roman" w:hAnsi="Times New Roman" w:cs="Times New Roman"/>
          <w:kern w:val="0"/>
          <w:sz w:val="22"/>
          <w:lang w:eastAsia="en-US"/>
        </w:rPr>
        <w:t xml:space="preserve">Microbiology Department, </w:t>
      </w:r>
      <w:r w:rsidRPr="006972F4">
        <w:rPr>
          <w:rFonts w:ascii="Times New Roman" w:hAnsi="Times New Roman" w:cs="Times New Roman"/>
          <w:kern w:val="0"/>
          <w:sz w:val="22"/>
        </w:rPr>
        <w:t>Jing'an</w:t>
      </w:r>
      <w:r w:rsidRPr="006972F4">
        <w:rPr>
          <w:rFonts w:ascii="Times New Roman" w:hAnsi="Times New Roman" w:cs="Times New Roman"/>
          <w:kern w:val="0"/>
          <w:sz w:val="22"/>
          <w:lang w:eastAsia="en-US"/>
        </w:rPr>
        <w:t xml:space="preserve"> Municipal Center for Disease Control and Prevention, Shanghai, 200</w:t>
      </w:r>
      <w:r w:rsidRPr="006972F4">
        <w:rPr>
          <w:rFonts w:ascii="Times New Roman" w:hAnsi="Times New Roman" w:cs="Times New Roman"/>
          <w:kern w:val="0"/>
          <w:sz w:val="22"/>
        </w:rPr>
        <w:t>070</w:t>
      </w:r>
      <w:r w:rsidRPr="006972F4">
        <w:rPr>
          <w:rFonts w:ascii="Times New Roman" w:hAnsi="Times New Roman" w:cs="Times New Roman"/>
          <w:kern w:val="0"/>
          <w:sz w:val="22"/>
          <w:lang w:eastAsia="en-US"/>
        </w:rPr>
        <w:t>, China</w:t>
      </w:r>
    </w:p>
    <w:p w:rsidR="00174B10" w:rsidRPr="006972F4" w:rsidRDefault="00174B10" w:rsidP="00881A3F">
      <w:pPr>
        <w:widowControl/>
        <w:adjustRightInd w:val="0"/>
        <w:snapToGrid w:val="0"/>
        <w:spacing w:line="360" w:lineRule="auto"/>
        <w:rPr>
          <w:rFonts w:ascii="Times New Roman" w:hAnsi="Times New Roman" w:cs="Times New Roman"/>
          <w:kern w:val="0"/>
          <w:sz w:val="22"/>
        </w:rPr>
      </w:pPr>
      <w:r w:rsidRPr="006972F4">
        <w:rPr>
          <w:rFonts w:ascii="Times New Roman" w:hAnsi="Times New Roman" w:cs="Times New Roman"/>
          <w:kern w:val="0"/>
          <w:sz w:val="22"/>
          <w:vertAlign w:val="superscript"/>
        </w:rPr>
        <w:t xml:space="preserve">d </w:t>
      </w:r>
      <w:r w:rsidRPr="006972F4">
        <w:rPr>
          <w:rFonts w:ascii="Times New Roman" w:hAnsi="Times New Roman" w:cs="Times New Roman"/>
          <w:kern w:val="0"/>
          <w:sz w:val="22"/>
          <w:lang w:eastAsia="en-US"/>
        </w:rPr>
        <w:t xml:space="preserve">Microbiology Department, </w:t>
      </w:r>
      <w:r w:rsidRPr="006972F4">
        <w:rPr>
          <w:rFonts w:ascii="Times New Roman" w:hAnsi="Times New Roman" w:cs="Times New Roman"/>
          <w:kern w:val="0"/>
          <w:sz w:val="22"/>
        </w:rPr>
        <w:t>Changning</w:t>
      </w:r>
      <w:r w:rsidRPr="006972F4">
        <w:rPr>
          <w:rFonts w:ascii="Times New Roman" w:hAnsi="Times New Roman" w:cs="Times New Roman"/>
          <w:kern w:val="0"/>
          <w:sz w:val="22"/>
          <w:lang w:eastAsia="en-US"/>
        </w:rPr>
        <w:t xml:space="preserve"> Municipal Center for Disease Control and Prevention, Shanghai, 200</w:t>
      </w:r>
      <w:r w:rsidRPr="006972F4">
        <w:rPr>
          <w:rFonts w:ascii="Times New Roman" w:hAnsi="Times New Roman" w:cs="Times New Roman"/>
          <w:kern w:val="0"/>
          <w:sz w:val="22"/>
        </w:rPr>
        <w:t>050</w:t>
      </w:r>
      <w:r w:rsidRPr="006972F4">
        <w:rPr>
          <w:rFonts w:ascii="Times New Roman" w:hAnsi="Times New Roman" w:cs="Times New Roman"/>
          <w:kern w:val="0"/>
          <w:sz w:val="22"/>
          <w:lang w:eastAsia="en-US"/>
        </w:rPr>
        <w:t>, China</w:t>
      </w:r>
    </w:p>
    <w:p w:rsidR="00174B10" w:rsidRPr="006972F4" w:rsidRDefault="00174B10" w:rsidP="00881A3F">
      <w:pPr>
        <w:widowControl/>
        <w:adjustRightInd w:val="0"/>
        <w:snapToGrid w:val="0"/>
        <w:spacing w:line="360" w:lineRule="auto"/>
        <w:rPr>
          <w:rFonts w:ascii="Times New Roman" w:hAnsi="Times New Roman" w:cs="Times New Roman"/>
          <w:kern w:val="0"/>
          <w:sz w:val="22"/>
          <w:lang w:eastAsia="en-US"/>
        </w:rPr>
      </w:pPr>
      <w:r w:rsidRPr="006972F4">
        <w:rPr>
          <w:rFonts w:ascii="Times New Roman" w:hAnsi="Times New Roman" w:cs="Times New Roman"/>
          <w:kern w:val="0"/>
          <w:sz w:val="22"/>
          <w:vertAlign w:val="superscript"/>
        </w:rPr>
        <w:t xml:space="preserve">e </w:t>
      </w:r>
      <w:r w:rsidRPr="006972F4">
        <w:rPr>
          <w:rFonts w:ascii="Times New Roman" w:hAnsi="Times New Roman" w:cs="Times New Roman"/>
          <w:kern w:val="0"/>
          <w:sz w:val="22"/>
          <w:lang w:eastAsia="en-US"/>
        </w:rPr>
        <w:t>WHO WPRO Regional Polio Reference Laboratory, NHC Key Laboratory for Biosafety, NHC Key Laboratory for Medical Virology, National Institute for Viral Disease</w:t>
      </w:r>
      <w:r w:rsidRPr="006972F4">
        <w:rPr>
          <w:rFonts w:ascii="Times New Roman" w:hAnsi="Times New Roman" w:cs="Times New Roman"/>
          <w:kern w:val="0"/>
          <w:sz w:val="22"/>
        </w:rPr>
        <w:t xml:space="preserve"> </w:t>
      </w:r>
      <w:r w:rsidRPr="006972F4">
        <w:rPr>
          <w:rFonts w:ascii="Times New Roman" w:hAnsi="Times New Roman" w:cs="Times New Roman"/>
          <w:kern w:val="0"/>
          <w:sz w:val="22"/>
          <w:lang w:eastAsia="en-US"/>
        </w:rPr>
        <w:t>Control and Prevention, Chinese Center for Disease Control and Prevention, Beijing, 102206, China</w:t>
      </w:r>
    </w:p>
    <w:p w:rsidR="00174B10" w:rsidRPr="006972F4" w:rsidRDefault="00174B10" w:rsidP="00881A3F">
      <w:pPr>
        <w:widowControl/>
        <w:adjustRightInd w:val="0"/>
        <w:snapToGrid w:val="0"/>
        <w:spacing w:line="360" w:lineRule="auto"/>
        <w:rPr>
          <w:rFonts w:ascii="Times New Roman" w:hAnsi="Times New Roman" w:cs="Times New Roman"/>
          <w:kern w:val="0"/>
          <w:sz w:val="22"/>
        </w:rPr>
      </w:pPr>
    </w:p>
    <w:p w:rsidR="00174B10" w:rsidRPr="006972F4" w:rsidRDefault="00174B10" w:rsidP="00881A3F">
      <w:pPr>
        <w:widowControl/>
        <w:adjustRightInd w:val="0"/>
        <w:snapToGrid w:val="0"/>
        <w:spacing w:line="360" w:lineRule="auto"/>
        <w:rPr>
          <w:rFonts w:ascii="Times New Roman" w:hAnsi="Times New Roman" w:cs="Times New Roman"/>
          <w:kern w:val="0"/>
          <w:sz w:val="22"/>
          <w:lang w:eastAsia="en-US"/>
        </w:rPr>
      </w:pPr>
      <w:r w:rsidRPr="006972F4">
        <w:rPr>
          <w:rFonts w:ascii="Times New Roman" w:hAnsi="Times New Roman" w:cs="Times New Roman"/>
          <w:kern w:val="0"/>
          <w:sz w:val="22"/>
          <w:vertAlign w:val="superscript"/>
        </w:rPr>
        <w:t>1</w:t>
      </w:r>
      <w:r w:rsidRPr="006972F4">
        <w:rPr>
          <w:rFonts w:ascii="Times New Roman" w:hAnsi="Times New Roman" w:cs="Times New Roman"/>
          <w:kern w:val="0"/>
          <w:sz w:val="22"/>
        </w:rPr>
        <w:t xml:space="preserve"> Jiayu Wang and Wencheng Wu</w:t>
      </w:r>
      <w:r w:rsidRPr="006972F4">
        <w:rPr>
          <w:rFonts w:ascii="Times New Roman" w:hAnsi="Times New Roman" w:cs="Times New Roman"/>
          <w:kern w:val="0"/>
          <w:sz w:val="22"/>
          <w:lang w:eastAsia="en-US"/>
        </w:rPr>
        <w:t xml:space="preserve"> contributed equally to this work and share first authorship.</w:t>
      </w:r>
    </w:p>
    <w:p w:rsidR="00174B10" w:rsidRPr="006972F4" w:rsidRDefault="00174B10" w:rsidP="00881A3F">
      <w:pPr>
        <w:widowControl/>
        <w:adjustRightInd w:val="0"/>
        <w:snapToGrid w:val="0"/>
        <w:spacing w:line="360" w:lineRule="auto"/>
        <w:rPr>
          <w:rFonts w:ascii="Times New Roman" w:hAnsi="Times New Roman" w:cs="Times New Roman"/>
          <w:kern w:val="0"/>
          <w:sz w:val="22"/>
        </w:rPr>
      </w:pPr>
    </w:p>
    <w:p w:rsidR="00174B10" w:rsidRPr="006972F4" w:rsidRDefault="00174B10" w:rsidP="00881A3F">
      <w:pPr>
        <w:adjustRightInd w:val="0"/>
        <w:snapToGrid w:val="0"/>
        <w:spacing w:line="360" w:lineRule="auto"/>
        <w:rPr>
          <w:rFonts w:ascii="Times New Roman" w:hAnsi="Times New Roman" w:cs="Times New Roman"/>
        </w:rPr>
      </w:pPr>
      <w:r w:rsidRPr="006972F4">
        <w:rPr>
          <w:rFonts w:ascii="Times New Roman" w:hAnsi="Times New Roman" w:cs="Times New Roman"/>
          <w:vertAlign w:val="superscript"/>
        </w:rPr>
        <w:t>*</w:t>
      </w:r>
      <w:r w:rsidRPr="006972F4">
        <w:rPr>
          <w:rFonts w:ascii="Times New Roman" w:hAnsi="Times New Roman" w:cs="Times New Roman"/>
          <w:b/>
          <w:kern w:val="0"/>
          <w:sz w:val="22"/>
          <w:lang w:eastAsia="en-US"/>
        </w:rPr>
        <w:t>Correspondence:</w:t>
      </w:r>
    </w:p>
    <w:p w:rsidR="00174B10" w:rsidRPr="006972F4" w:rsidRDefault="00174B10" w:rsidP="00881A3F">
      <w:pPr>
        <w:widowControl/>
        <w:adjustRightInd w:val="0"/>
        <w:snapToGrid w:val="0"/>
        <w:spacing w:line="360" w:lineRule="auto"/>
        <w:rPr>
          <w:rStyle w:val="a5"/>
          <w:rFonts w:ascii="Times New Roman" w:hAnsi="Times New Roman" w:cs="Times New Roman"/>
          <w:kern w:val="0"/>
          <w:sz w:val="22"/>
        </w:rPr>
      </w:pPr>
      <w:r w:rsidRPr="006972F4">
        <w:rPr>
          <w:rFonts w:ascii="Times New Roman" w:hAnsi="Times New Roman" w:cs="Times New Roman"/>
          <w:kern w:val="0"/>
          <w:sz w:val="22"/>
        </w:rPr>
        <w:t>Email address: tengzheng@scdc.sh.cn</w:t>
      </w:r>
      <w:r w:rsidRPr="006972F4">
        <w:rPr>
          <w:rFonts w:ascii="Times New Roman" w:hAnsi="Times New Roman" w:cs="Times New Roman"/>
          <w:kern w:val="0"/>
          <w:sz w:val="22"/>
          <w:lang w:eastAsia="en-US"/>
        </w:rPr>
        <w:t xml:space="preserve"> (Z.</w:t>
      </w:r>
      <w:r w:rsidRPr="006972F4">
        <w:rPr>
          <w:rFonts w:ascii="Times New Roman" w:hAnsi="Times New Roman" w:cs="Times New Roman"/>
          <w:kern w:val="0"/>
          <w:sz w:val="22"/>
        </w:rPr>
        <w:t xml:space="preserve"> </w:t>
      </w:r>
      <w:r w:rsidRPr="006972F4">
        <w:rPr>
          <w:rFonts w:ascii="Times New Roman" w:hAnsi="Times New Roman" w:cs="Times New Roman"/>
          <w:kern w:val="0"/>
          <w:sz w:val="22"/>
          <w:lang w:eastAsia="en-US"/>
        </w:rPr>
        <w:t>Teng</w:t>
      </w:r>
      <w:r w:rsidRPr="006972F4">
        <w:rPr>
          <w:rFonts w:ascii="Times New Roman" w:hAnsi="Times New Roman" w:cs="Times New Roman"/>
          <w:kern w:val="0"/>
          <w:sz w:val="22"/>
        </w:rPr>
        <w:t>)</w:t>
      </w:r>
    </w:p>
    <w:p w:rsidR="00174B10" w:rsidRPr="00473B9F" w:rsidRDefault="00174B10" w:rsidP="001755EA">
      <w:pPr>
        <w:widowControl/>
        <w:adjustRightInd w:val="0"/>
        <w:snapToGrid w:val="0"/>
        <w:spacing w:line="360" w:lineRule="auto"/>
        <w:rPr>
          <w:rFonts w:ascii="Times New Roman" w:hAnsi="Times New Roman" w:cs="Times New Roman"/>
        </w:rPr>
      </w:pPr>
      <w:r w:rsidRPr="006972F4">
        <w:rPr>
          <w:rFonts w:ascii="Times New Roman" w:hAnsi="Times New Roman" w:cs="Times New Roman"/>
        </w:rPr>
        <w:t>ORCID: 0000-0002-9901-7376(Z. Teng)</w:t>
      </w:r>
    </w:p>
    <w:p w:rsidR="00174B10" w:rsidRPr="00473B9F" w:rsidRDefault="00174B10" w:rsidP="00881A3F">
      <w:pPr>
        <w:widowControl/>
        <w:adjustRightInd w:val="0"/>
        <w:snapToGrid w:val="0"/>
        <w:spacing w:line="360" w:lineRule="auto"/>
        <w:rPr>
          <w:rFonts w:ascii="Times New Roman" w:hAnsi="Times New Roman" w:cs="Times New Roman"/>
        </w:rPr>
      </w:pPr>
    </w:p>
    <w:p w:rsidR="00174B10" w:rsidRPr="00473B9F" w:rsidRDefault="00174B10" w:rsidP="00881A3F">
      <w:pPr>
        <w:widowControl/>
        <w:adjustRightInd w:val="0"/>
        <w:snapToGrid w:val="0"/>
        <w:spacing w:line="360" w:lineRule="auto"/>
        <w:rPr>
          <w:rFonts w:ascii="Times New Roman" w:hAnsi="Times New Roman" w:cs="Times New Roman"/>
        </w:rPr>
      </w:pPr>
    </w:p>
    <w:p w:rsidR="00174B10" w:rsidRPr="00AA1994" w:rsidRDefault="00174B10" w:rsidP="00220140">
      <w:pPr>
        <w:spacing w:line="480" w:lineRule="auto"/>
      </w:pPr>
    </w:p>
    <w:p w:rsidR="00174B10" w:rsidRPr="00AA1994" w:rsidRDefault="00174B10" w:rsidP="00220140">
      <w:pPr>
        <w:spacing w:line="480" w:lineRule="auto"/>
      </w:pPr>
    </w:p>
    <w:p w:rsidR="00174B10" w:rsidRPr="00AA1994" w:rsidRDefault="00174B10"/>
    <w:p w:rsidR="00174B10" w:rsidRDefault="00174B10" w:rsidP="005A7E4A">
      <w:pPr>
        <w:spacing w:before="120" w:after="240" w:line="480" w:lineRule="auto"/>
        <w:rPr>
          <w:rFonts w:ascii="Times New Roman" w:hAnsi="Times New Roman" w:cs="Times New Roman"/>
          <w:b/>
          <w:sz w:val="22"/>
          <w:szCs w:val="22"/>
        </w:rPr>
        <w:sectPr w:rsidR="00174B10" w:rsidSect="006972F4">
          <w:headerReference w:type="default" r:id="rId6"/>
          <w:footerReference w:type="default" r:id="rId7"/>
          <w:pgSz w:w="11906" w:h="16838"/>
          <w:pgMar w:top="1440" w:right="1080" w:bottom="1440" w:left="1080" w:header="851" w:footer="992" w:gutter="0"/>
          <w:cols w:space="425"/>
          <w:docGrid w:type="lines" w:linePitch="312"/>
        </w:sectPr>
      </w:pPr>
    </w:p>
    <w:p w:rsidR="00174B10" w:rsidRDefault="00174B10" w:rsidP="00881A3F">
      <w:pPr>
        <w:adjustRightInd w:val="0"/>
        <w:snapToGrid w:val="0"/>
        <w:spacing w:line="360" w:lineRule="auto"/>
        <w:rPr>
          <w:rFonts w:ascii="Times New Roman" w:hAnsi="Times New Roman" w:cs="Times New Roman"/>
          <w:b/>
          <w:sz w:val="22"/>
          <w:szCs w:val="22"/>
        </w:rPr>
      </w:pPr>
      <w:r>
        <w:rPr>
          <w:rFonts w:ascii="Times New Roman" w:hAnsi="Times New Roman" w:cs="Times New Roman" w:hint="eastAsia"/>
          <w:b/>
          <w:sz w:val="22"/>
          <w:szCs w:val="22"/>
        </w:rPr>
        <w:lastRenderedPageBreak/>
        <w:t>Materi</w:t>
      </w:r>
      <w:r>
        <w:rPr>
          <w:rFonts w:ascii="Times New Roman" w:hAnsi="Times New Roman" w:cs="Times New Roman"/>
          <w:b/>
          <w:sz w:val="22"/>
          <w:szCs w:val="22"/>
        </w:rPr>
        <w:t>als and methods</w:t>
      </w:r>
    </w:p>
    <w:p w:rsidR="00174B10" w:rsidRPr="00881A3F" w:rsidRDefault="00174B10" w:rsidP="00881A3F">
      <w:pPr>
        <w:adjustRightInd w:val="0"/>
        <w:snapToGrid w:val="0"/>
        <w:spacing w:line="360" w:lineRule="auto"/>
        <w:rPr>
          <w:rFonts w:ascii="Times New Roman" w:hAnsi="Times New Roman" w:cs="Times New Roman"/>
          <w:b/>
          <w:sz w:val="22"/>
          <w:szCs w:val="22"/>
        </w:rPr>
      </w:pPr>
      <w:r w:rsidRPr="00881A3F">
        <w:rPr>
          <w:rFonts w:ascii="Times New Roman" w:hAnsi="Times New Roman" w:cs="Times New Roman"/>
          <w:b/>
          <w:sz w:val="22"/>
          <w:szCs w:val="22"/>
        </w:rPr>
        <w:t>Sample collection</w:t>
      </w:r>
    </w:p>
    <w:p w:rsidR="00174B10" w:rsidRDefault="00174B10" w:rsidP="00E644B9">
      <w:pPr>
        <w:adjustRightInd w:val="0"/>
        <w:snapToGrid w:val="0"/>
        <w:spacing w:line="360" w:lineRule="auto"/>
        <w:ind w:firstLineChars="200" w:firstLine="440"/>
        <w:rPr>
          <w:rFonts w:ascii="Times New Roman" w:hAnsi="Times New Roman" w:cs="Times New Roman"/>
          <w:b/>
          <w:color w:val="C00000"/>
          <w:sz w:val="22"/>
          <w:szCs w:val="22"/>
        </w:rPr>
      </w:pPr>
      <w:r w:rsidRPr="00881A3F">
        <w:rPr>
          <w:rFonts w:ascii="Times New Roman" w:hAnsi="Times New Roman" w:cs="Times New Roman"/>
          <w:sz w:val="22"/>
          <w:szCs w:val="22"/>
        </w:rPr>
        <w:t xml:space="preserve">Serum samples from 307 healthy participants were collected </w:t>
      </w:r>
      <w:r>
        <w:rPr>
          <w:rFonts w:ascii="Times New Roman" w:hAnsi="Times New Roman" w:cs="Times New Roman"/>
          <w:sz w:val="22"/>
          <w:szCs w:val="22"/>
        </w:rPr>
        <w:t>between</w:t>
      </w:r>
      <w:r w:rsidRPr="00881A3F">
        <w:rPr>
          <w:rFonts w:ascii="Times New Roman" w:hAnsi="Times New Roman" w:cs="Times New Roman"/>
          <w:sz w:val="22"/>
          <w:szCs w:val="22"/>
        </w:rPr>
        <w:t xml:space="preserve"> September 27th </w:t>
      </w:r>
      <w:r>
        <w:rPr>
          <w:rFonts w:ascii="Times New Roman" w:hAnsi="Times New Roman" w:cs="Times New Roman"/>
          <w:sz w:val="22"/>
          <w:szCs w:val="22"/>
        </w:rPr>
        <w:t>and</w:t>
      </w:r>
      <w:r w:rsidRPr="00881A3F">
        <w:rPr>
          <w:rFonts w:ascii="Times New Roman" w:hAnsi="Times New Roman" w:cs="Times New Roman"/>
          <w:sz w:val="22"/>
          <w:szCs w:val="22"/>
        </w:rPr>
        <w:t xml:space="preserve"> December 7th in 2022 in three local districts (Jing’an, Changning and Yangpu) </w:t>
      </w:r>
      <w:r>
        <w:rPr>
          <w:rFonts w:ascii="Times New Roman" w:hAnsi="Times New Roman" w:cs="Times New Roman"/>
          <w:sz w:val="22"/>
          <w:szCs w:val="22"/>
        </w:rPr>
        <w:t>of</w:t>
      </w:r>
      <w:r w:rsidRPr="00881A3F">
        <w:rPr>
          <w:rFonts w:ascii="Times New Roman" w:hAnsi="Times New Roman" w:cs="Times New Roman"/>
          <w:sz w:val="22"/>
          <w:szCs w:val="22"/>
        </w:rPr>
        <w:t xml:space="preserve"> Shanghai (</w:t>
      </w:r>
      <w:r w:rsidRPr="00F75851">
        <w:rPr>
          <w:rFonts w:ascii="Times New Roman" w:hAnsi="Times New Roman" w:cs="Times New Roman"/>
          <w:b/>
          <w:color w:val="0070C0"/>
          <w:sz w:val="22"/>
          <w:szCs w:val="22"/>
        </w:rPr>
        <w:t>Supplementary Table S1</w:t>
      </w:r>
      <w:r w:rsidRPr="00881A3F">
        <w:rPr>
          <w:rFonts w:ascii="Times New Roman" w:hAnsi="Times New Roman" w:cs="Times New Roman"/>
          <w:sz w:val="22"/>
          <w:szCs w:val="22"/>
        </w:rPr>
        <w:t xml:space="preserve">). All the serum samples were obtained from the routine </w:t>
      </w:r>
      <w:r>
        <w:rPr>
          <w:rFonts w:ascii="Times New Roman" w:hAnsi="Times New Roman" w:cs="Times New Roman"/>
          <w:sz w:val="22"/>
        </w:rPr>
        <w:t>h</w:t>
      </w:r>
      <w:r w:rsidRPr="00473B9F">
        <w:rPr>
          <w:rFonts w:ascii="Times New Roman" w:hAnsi="Times New Roman" w:cs="Times New Roman"/>
          <w:sz w:val="22"/>
        </w:rPr>
        <w:t>and, foot and mouth disease</w:t>
      </w:r>
      <w:r w:rsidRPr="00881A3F">
        <w:rPr>
          <w:rFonts w:ascii="Times New Roman" w:hAnsi="Times New Roman" w:cs="Times New Roman"/>
          <w:sz w:val="22"/>
          <w:szCs w:val="22"/>
        </w:rPr>
        <w:t xml:space="preserve"> </w:t>
      </w:r>
      <w:r>
        <w:rPr>
          <w:rFonts w:ascii="Times New Roman" w:hAnsi="Times New Roman" w:cs="Times New Roman"/>
          <w:sz w:val="22"/>
          <w:szCs w:val="22"/>
        </w:rPr>
        <w:t>(</w:t>
      </w:r>
      <w:r w:rsidRPr="00881A3F">
        <w:rPr>
          <w:rFonts w:ascii="Times New Roman" w:hAnsi="Times New Roman" w:cs="Times New Roman"/>
          <w:sz w:val="22"/>
          <w:szCs w:val="22"/>
        </w:rPr>
        <w:t>HFMD</w:t>
      </w:r>
      <w:r>
        <w:rPr>
          <w:rFonts w:ascii="Times New Roman" w:hAnsi="Times New Roman" w:cs="Times New Roman"/>
          <w:sz w:val="22"/>
          <w:szCs w:val="22"/>
        </w:rPr>
        <w:t>)</w:t>
      </w:r>
      <w:r w:rsidRPr="00881A3F">
        <w:rPr>
          <w:rFonts w:ascii="Times New Roman" w:hAnsi="Times New Roman" w:cs="Times New Roman"/>
          <w:sz w:val="22"/>
          <w:szCs w:val="22"/>
        </w:rPr>
        <w:t xml:space="preserve"> and Dengue Fever </w:t>
      </w:r>
      <w:r>
        <w:rPr>
          <w:rFonts w:ascii="Times New Roman" w:hAnsi="Times New Roman" w:cs="Times New Roman"/>
          <w:sz w:val="22"/>
          <w:szCs w:val="22"/>
        </w:rPr>
        <w:t>S</w:t>
      </w:r>
      <w:r w:rsidRPr="00881A3F">
        <w:rPr>
          <w:rFonts w:ascii="Times New Roman" w:hAnsi="Times New Roman" w:cs="Times New Roman"/>
          <w:sz w:val="22"/>
          <w:szCs w:val="22"/>
        </w:rPr>
        <w:t xml:space="preserve">urveillance </w:t>
      </w:r>
      <w:r>
        <w:rPr>
          <w:rFonts w:ascii="Times New Roman" w:hAnsi="Times New Roman" w:cs="Times New Roman"/>
          <w:sz w:val="22"/>
          <w:szCs w:val="22"/>
        </w:rPr>
        <w:t>P</w:t>
      </w:r>
      <w:r w:rsidRPr="00881A3F">
        <w:rPr>
          <w:rFonts w:ascii="Times New Roman" w:hAnsi="Times New Roman" w:cs="Times New Roman"/>
          <w:sz w:val="22"/>
          <w:szCs w:val="22"/>
        </w:rPr>
        <w:t xml:space="preserve">rogram. Healthy individuals were defined as those </w:t>
      </w:r>
      <w:r>
        <w:rPr>
          <w:rFonts w:ascii="Times New Roman" w:hAnsi="Times New Roman" w:cs="Times New Roman"/>
          <w:sz w:val="22"/>
          <w:szCs w:val="22"/>
        </w:rPr>
        <w:t>without any</w:t>
      </w:r>
      <w:r w:rsidRPr="00881A3F">
        <w:rPr>
          <w:rFonts w:ascii="Times New Roman" w:hAnsi="Times New Roman" w:cs="Times New Roman"/>
          <w:sz w:val="22"/>
          <w:szCs w:val="22"/>
        </w:rPr>
        <w:t xml:space="preserve"> sign</w:t>
      </w:r>
      <w:r>
        <w:rPr>
          <w:rFonts w:ascii="Times New Roman" w:hAnsi="Times New Roman" w:cs="Times New Roman"/>
          <w:sz w:val="22"/>
          <w:szCs w:val="22"/>
        </w:rPr>
        <w:t>s</w:t>
      </w:r>
      <w:r w:rsidRPr="00881A3F">
        <w:rPr>
          <w:rFonts w:ascii="Times New Roman" w:hAnsi="Times New Roman" w:cs="Times New Roman"/>
          <w:sz w:val="22"/>
          <w:szCs w:val="22"/>
        </w:rPr>
        <w:t xml:space="preserve"> of disease at the time of sample collection. Serum samples were stored at -80</w:t>
      </w:r>
      <w:r>
        <w:rPr>
          <w:rFonts w:ascii="Times New Roman" w:hAnsi="Times New Roman" w:cs="Times New Roman"/>
          <w:sz w:val="22"/>
          <w:szCs w:val="22"/>
        </w:rPr>
        <w:t xml:space="preserve"> </w:t>
      </w:r>
      <w:r w:rsidRPr="00881A3F">
        <w:rPr>
          <w:rFonts w:ascii="Times New Roman" w:eastAsia="宋体" w:hAnsi="Times New Roman" w:cs="Times New Roman"/>
          <w:sz w:val="22"/>
          <w:szCs w:val="22"/>
        </w:rPr>
        <w:t>℃</w:t>
      </w:r>
      <w:r w:rsidRPr="00881A3F">
        <w:rPr>
          <w:rFonts w:ascii="Times New Roman" w:hAnsi="Times New Roman" w:cs="Times New Roman"/>
          <w:sz w:val="22"/>
          <w:szCs w:val="22"/>
        </w:rPr>
        <w:t xml:space="preserve"> and inactivated at 56</w:t>
      </w:r>
      <w:r>
        <w:rPr>
          <w:rFonts w:ascii="Times New Roman" w:hAnsi="Times New Roman" w:cs="Times New Roman"/>
          <w:sz w:val="22"/>
          <w:szCs w:val="22"/>
        </w:rPr>
        <w:t xml:space="preserve"> </w:t>
      </w:r>
      <w:r w:rsidRPr="00881A3F">
        <w:rPr>
          <w:rFonts w:ascii="Times New Roman" w:eastAsia="宋体" w:hAnsi="Times New Roman" w:cs="Times New Roman"/>
          <w:sz w:val="22"/>
          <w:szCs w:val="22"/>
        </w:rPr>
        <w:t>℃</w:t>
      </w:r>
      <w:r w:rsidRPr="00881A3F">
        <w:rPr>
          <w:rFonts w:ascii="Times New Roman" w:hAnsi="Times New Roman" w:cs="Times New Roman"/>
          <w:sz w:val="22"/>
          <w:szCs w:val="22"/>
        </w:rPr>
        <w:t xml:space="preserve"> for 30 min before use.</w:t>
      </w:r>
      <w:r w:rsidRPr="00722E4E">
        <w:rPr>
          <w:rFonts w:ascii="Times New Roman" w:hAnsi="Times New Roman" w:cs="Times New Roman"/>
          <w:b/>
          <w:color w:val="C00000"/>
          <w:sz w:val="22"/>
          <w:szCs w:val="22"/>
        </w:rPr>
        <w:t xml:space="preserve"> </w:t>
      </w:r>
    </w:p>
    <w:p w:rsidR="00174B10" w:rsidRPr="00722E4E" w:rsidRDefault="00174B10" w:rsidP="00722E4E">
      <w:pPr>
        <w:adjustRightInd w:val="0"/>
        <w:snapToGrid w:val="0"/>
        <w:spacing w:line="360" w:lineRule="auto"/>
        <w:rPr>
          <w:rFonts w:ascii="Times New Roman" w:hAnsi="Times New Roman" w:cs="Times New Roman"/>
          <w:b/>
          <w:sz w:val="22"/>
          <w:szCs w:val="22"/>
        </w:rPr>
      </w:pPr>
      <w:r w:rsidRPr="00722E4E">
        <w:rPr>
          <w:rFonts w:ascii="Times New Roman" w:hAnsi="Times New Roman" w:cs="Times New Roman"/>
          <w:b/>
          <w:sz w:val="22"/>
          <w:szCs w:val="22"/>
        </w:rPr>
        <w:t>Etiological Surveillance</w:t>
      </w:r>
    </w:p>
    <w:p w:rsidR="00174B10" w:rsidRPr="00722E4E" w:rsidRDefault="00174B10" w:rsidP="00722E4E">
      <w:pPr>
        <w:adjustRightInd w:val="0"/>
        <w:snapToGrid w:val="0"/>
        <w:spacing w:line="360" w:lineRule="auto"/>
        <w:ind w:firstLineChars="200" w:firstLine="440"/>
        <w:rPr>
          <w:rFonts w:ascii="Times New Roman" w:hAnsi="Times New Roman" w:cs="Times New Roman"/>
          <w:sz w:val="22"/>
          <w:szCs w:val="22"/>
        </w:rPr>
      </w:pPr>
      <w:r w:rsidRPr="00722E4E">
        <w:rPr>
          <w:rFonts w:ascii="Times New Roman" w:hAnsi="Times New Roman" w:cs="Times New Roman"/>
          <w:sz w:val="22"/>
          <w:szCs w:val="22"/>
        </w:rPr>
        <w:t>Clinical samples including throat swabs and faeces from outpatients who are diagnosed with HFMD were collected at local sentinel hospitals in each district in Shanghai. The criteria for clinical HFMD diagnosis were established per the official National Guidelines for HFMD Control and Prevention (2009 edition). These samples were then sent to microbiology labs at the local CDCs, where EV, EV-A71, CVA16, CVA6, CVA10 can be confirmed using commercial real-time PCR Kits. Those EV-positive but EV-A71, CVA16, CVA6 and CVA10 negative were defined as other EV infected HFMD cases.</w:t>
      </w:r>
    </w:p>
    <w:p w:rsidR="00174B10" w:rsidRPr="00881A3F" w:rsidRDefault="00174B10" w:rsidP="00881A3F">
      <w:pPr>
        <w:adjustRightInd w:val="0"/>
        <w:snapToGrid w:val="0"/>
        <w:spacing w:line="360" w:lineRule="auto"/>
        <w:rPr>
          <w:rFonts w:ascii="Times New Roman" w:hAnsi="Times New Roman" w:cs="Times New Roman"/>
          <w:b/>
          <w:sz w:val="22"/>
          <w:szCs w:val="22"/>
        </w:rPr>
      </w:pPr>
      <w:r w:rsidRPr="00881A3F">
        <w:rPr>
          <w:rFonts w:ascii="Times New Roman" w:hAnsi="Times New Roman" w:cs="Times New Roman"/>
          <w:b/>
          <w:sz w:val="22"/>
          <w:szCs w:val="22"/>
        </w:rPr>
        <w:t>NtAb detection</w:t>
      </w:r>
    </w:p>
    <w:p w:rsidR="00174B10" w:rsidRDefault="00174B10" w:rsidP="00881A3F">
      <w:pPr>
        <w:adjustRightInd w:val="0"/>
        <w:snapToGrid w:val="0"/>
        <w:spacing w:line="360" w:lineRule="auto"/>
        <w:ind w:firstLineChars="200" w:firstLine="440"/>
        <w:rPr>
          <w:rFonts w:ascii="Times New Roman" w:hAnsi="Times New Roman" w:cs="Times New Roman"/>
          <w:sz w:val="22"/>
          <w:szCs w:val="22"/>
        </w:rPr>
      </w:pPr>
      <w:r w:rsidRPr="00881A3F">
        <w:rPr>
          <w:rFonts w:ascii="Times New Roman" w:hAnsi="Times New Roman" w:cs="Times New Roman"/>
          <w:sz w:val="22"/>
          <w:szCs w:val="22"/>
        </w:rPr>
        <w:t>EV-A71, CVA16, CVA6, CVA10 and CVA4 clinical isolates (</w:t>
      </w:r>
      <w:r w:rsidRPr="00F75851">
        <w:rPr>
          <w:rFonts w:ascii="Times New Roman" w:hAnsi="Times New Roman" w:cs="Times New Roman"/>
          <w:b/>
          <w:color w:val="0070C0"/>
          <w:sz w:val="22"/>
          <w:szCs w:val="22"/>
        </w:rPr>
        <w:t>Supplementary Table S2</w:t>
      </w:r>
      <w:r w:rsidRPr="00881A3F">
        <w:rPr>
          <w:rFonts w:ascii="Times New Roman" w:hAnsi="Times New Roman" w:cs="Times New Roman"/>
          <w:sz w:val="22"/>
          <w:szCs w:val="22"/>
        </w:rPr>
        <w:t xml:space="preserve">) were used to quantify </w:t>
      </w:r>
      <w:r>
        <w:rPr>
          <w:rFonts w:ascii="Times New Roman" w:hAnsi="Times New Roman" w:cs="Times New Roman"/>
          <w:sz w:val="22"/>
        </w:rPr>
        <w:t>n</w:t>
      </w:r>
      <w:r w:rsidRPr="00473B9F">
        <w:rPr>
          <w:rFonts w:ascii="Times New Roman" w:hAnsi="Times New Roman" w:cs="Times New Roman"/>
          <w:sz w:val="22"/>
        </w:rPr>
        <w:t xml:space="preserve">eutralizing </w:t>
      </w:r>
      <w:r>
        <w:rPr>
          <w:rFonts w:ascii="Times New Roman" w:hAnsi="Times New Roman" w:cs="Times New Roman"/>
          <w:sz w:val="22"/>
        </w:rPr>
        <w:t>a</w:t>
      </w:r>
      <w:r w:rsidRPr="00473B9F">
        <w:rPr>
          <w:rFonts w:ascii="Times New Roman" w:hAnsi="Times New Roman" w:cs="Times New Roman"/>
          <w:sz w:val="22"/>
        </w:rPr>
        <w:t>ntibodies</w:t>
      </w:r>
      <w:r w:rsidRPr="00881A3F">
        <w:rPr>
          <w:rFonts w:ascii="Times New Roman" w:hAnsi="Times New Roman" w:cs="Times New Roman"/>
          <w:sz w:val="22"/>
          <w:szCs w:val="22"/>
        </w:rPr>
        <w:t xml:space="preserve"> </w:t>
      </w:r>
      <w:r>
        <w:rPr>
          <w:rFonts w:ascii="Times New Roman" w:hAnsi="Times New Roman" w:cs="Times New Roman" w:hint="eastAsia"/>
          <w:sz w:val="22"/>
          <w:szCs w:val="22"/>
        </w:rPr>
        <w:t>(</w:t>
      </w:r>
      <w:r w:rsidRPr="00881A3F">
        <w:rPr>
          <w:rFonts w:ascii="Times New Roman" w:hAnsi="Times New Roman" w:cs="Times New Roman"/>
          <w:sz w:val="22"/>
          <w:szCs w:val="22"/>
        </w:rPr>
        <w:t>NtAbs</w:t>
      </w:r>
      <w:r>
        <w:rPr>
          <w:rFonts w:ascii="Times New Roman" w:hAnsi="Times New Roman" w:cs="Times New Roman"/>
          <w:sz w:val="22"/>
          <w:szCs w:val="22"/>
        </w:rPr>
        <w:t>)</w:t>
      </w:r>
      <w:r w:rsidRPr="00881A3F">
        <w:rPr>
          <w:rFonts w:ascii="Times New Roman" w:hAnsi="Times New Roman" w:cs="Times New Roman"/>
          <w:sz w:val="22"/>
          <w:szCs w:val="22"/>
        </w:rPr>
        <w:t xml:space="preserve"> </w:t>
      </w:r>
      <w:r>
        <w:rPr>
          <w:rFonts w:ascii="Times New Roman" w:hAnsi="Times New Roman" w:cs="Times New Roman"/>
          <w:sz w:val="22"/>
          <w:szCs w:val="22"/>
        </w:rPr>
        <w:t>through</w:t>
      </w:r>
      <w:r w:rsidRPr="00881A3F">
        <w:rPr>
          <w:rFonts w:ascii="Times New Roman" w:hAnsi="Times New Roman" w:cs="Times New Roman"/>
          <w:sz w:val="22"/>
          <w:szCs w:val="22"/>
        </w:rPr>
        <w:t xml:space="preserve"> a micro-neutralization test. Genotyping analysis (</w:t>
      </w:r>
      <w:r w:rsidRPr="00F75851">
        <w:rPr>
          <w:rFonts w:ascii="Times New Roman" w:hAnsi="Times New Roman" w:cs="Times New Roman"/>
          <w:b/>
          <w:color w:val="0070C0"/>
          <w:sz w:val="22"/>
          <w:szCs w:val="22"/>
        </w:rPr>
        <w:t>Supplementary Figure S1</w:t>
      </w:r>
      <w:r w:rsidRPr="00881A3F">
        <w:rPr>
          <w:rFonts w:ascii="Times New Roman" w:hAnsi="Times New Roman" w:cs="Times New Roman"/>
          <w:sz w:val="22"/>
          <w:szCs w:val="22"/>
        </w:rPr>
        <w:t>) showed that the five isolates belonged to evolutionary branch</w:t>
      </w:r>
      <w:r>
        <w:rPr>
          <w:rFonts w:ascii="Times New Roman" w:hAnsi="Times New Roman" w:cs="Times New Roman"/>
          <w:sz w:val="22"/>
          <w:szCs w:val="22"/>
        </w:rPr>
        <w:t>es</w:t>
      </w:r>
      <w:r w:rsidRPr="00881A3F">
        <w:rPr>
          <w:rFonts w:ascii="Times New Roman" w:hAnsi="Times New Roman" w:cs="Times New Roman"/>
          <w:sz w:val="22"/>
          <w:szCs w:val="22"/>
        </w:rPr>
        <w:t xml:space="preserve"> C4a, B1b, D3a, C and C2, respectively. These isolates </w:t>
      </w:r>
      <w:r w:rsidRPr="00881A3F">
        <w:rPr>
          <w:rFonts w:ascii="Times New Roman" w:hAnsi="Times New Roman" w:cs="Times New Roman"/>
          <w:sz w:val="22"/>
        </w:rPr>
        <w:t xml:space="preserve">represent the predominant genotypes or subgenotypes circulating in </w:t>
      </w:r>
      <w:r>
        <w:rPr>
          <w:rFonts w:ascii="Times New Roman" w:hAnsi="Times New Roman" w:cs="Times New Roman"/>
          <w:sz w:val="22"/>
        </w:rPr>
        <w:t xml:space="preserve">the </w:t>
      </w:r>
      <w:r w:rsidRPr="00881A3F">
        <w:rPr>
          <w:rFonts w:ascii="Times New Roman" w:hAnsi="Times New Roman" w:cs="Times New Roman"/>
          <w:sz w:val="22"/>
        </w:rPr>
        <w:t xml:space="preserve">mainland </w:t>
      </w:r>
      <w:r>
        <w:rPr>
          <w:rFonts w:ascii="Times New Roman" w:hAnsi="Times New Roman" w:cs="Times New Roman"/>
          <w:sz w:val="22"/>
        </w:rPr>
        <w:t xml:space="preserve">of </w:t>
      </w:r>
      <w:r w:rsidRPr="00881A3F">
        <w:rPr>
          <w:rFonts w:ascii="Times New Roman" w:hAnsi="Times New Roman" w:cs="Times New Roman"/>
          <w:sz w:val="22"/>
        </w:rPr>
        <w:t>China</w:t>
      </w:r>
      <w:r>
        <w:rPr>
          <w:rFonts w:ascii="Times New Roman" w:hAnsi="Times New Roman" w:cs="Times New Roman" w:hint="eastAsia"/>
          <w:sz w:val="22"/>
        </w:rPr>
        <w:t xml:space="preserve"> </w:t>
      </w:r>
      <w:r>
        <w:rPr>
          <w:rFonts w:ascii="Times New Roman" w:hAnsi="Times New Roman" w:cs="Times New Roman"/>
          <w:noProof/>
          <w:sz w:val="22"/>
        </w:rPr>
        <w:t>(T. Ji et al., 2018, T. Ji et al., 2019, Z. Han et al., 2020, Y. Song et al., 2020, J. Xiao et al., 2022)</w:t>
      </w:r>
      <w:r w:rsidRPr="00881A3F">
        <w:rPr>
          <w:rFonts w:ascii="Times New Roman" w:hAnsi="Times New Roman" w:cs="Times New Roman"/>
          <w:sz w:val="22"/>
        </w:rPr>
        <w:t>.</w:t>
      </w:r>
      <w:r w:rsidRPr="00881A3F">
        <w:rPr>
          <w:rFonts w:ascii="Times New Roman" w:hAnsi="Times New Roman" w:cs="Times New Roman"/>
          <w:sz w:val="22"/>
          <w:szCs w:val="22"/>
        </w:rPr>
        <w:t xml:space="preserve"> Viruses were propagated in </w:t>
      </w:r>
      <w:r>
        <w:rPr>
          <w:rFonts w:ascii="Times New Roman" w:hAnsi="Times New Roman" w:cs="Times New Roman"/>
          <w:sz w:val="22"/>
          <w:szCs w:val="22"/>
        </w:rPr>
        <w:t>h</w:t>
      </w:r>
      <w:r w:rsidRPr="00881A3F">
        <w:rPr>
          <w:rFonts w:ascii="Times New Roman" w:hAnsi="Times New Roman" w:cs="Times New Roman"/>
          <w:sz w:val="22"/>
          <w:szCs w:val="22"/>
        </w:rPr>
        <w:t xml:space="preserve">uman </w:t>
      </w:r>
      <w:r>
        <w:rPr>
          <w:rFonts w:ascii="Times New Roman" w:hAnsi="Times New Roman" w:cs="Times New Roman"/>
          <w:sz w:val="22"/>
          <w:szCs w:val="22"/>
        </w:rPr>
        <w:t>r</w:t>
      </w:r>
      <w:r w:rsidRPr="00881A3F">
        <w:rPr>
          <w:rFonts w:ascii="Times New Roman" w:hAnsi="Times New Roman" w:cs="Times New Roman"/>
          <w:sz w:val="22"/>
          <w:szCs w:val="22"/>
        </w:rPr>
        <w:t>habdomyosarcoma (RD) cell line and the viral infectivity titers were determined following the official National Guidelines for HFMD Control and Prevention (2009 edition) (</w:t>
      </w:r>
      <w:hyperlink r:id="rId8" w:history="1">
        <w:r w:rsidRPr="00881A3F">
          <w:rPr>
            <w:rFonts w:ascii="Times New Roman" w:hAnsi="Times New Roman" w:cs="Times New Roman"/>
            <w:sz w:val="22"/>
            <w:szCs w:val="22"/>
          </w:rPr>
          <w:t>https://www.gov.cn/gzdt/2009-06/04/content_1332078.htm</w:t>
        </w:r>
      </w:hyperlink>
      <w:r w:rsidRPr="00881A3F">
        <w:rPr>
          <w:rFonts w:ascii="Times New Roman" w:hAnsi="Times New Roman" w:cs="Times New Roman"/>
          <w:sz w:val="22"/>
          <w:szCs w:val="22"/>
        </w:rPr>
        <w:t xml:space="preserve">). </w:t>
      </w:r>
    </w:p>
    <w:p w:rsidR="00174B10" w:rsidRPr="00881A3F" w:rsidRDefault="00174B10" w:rsidP="00881A3F">
      <w:pPr>
        <w:adjustRightInd w:val="0"/>
        <w:snapToGrid w:val="0"/>
        <w:spacing w:line="360" w:lineRule="auto"/>
        <w:ind w:firstLineChars="200" w:firstLine="440"/>
        <w:rPr>
          <w:rFonts w:ascii="Times New Roman" w:hAnsi="Times New Roman" w:cs="Times New Roman"/>
          <w:sz w:val="22"/>
          <w:szCs w:val="22"/>
        </w:rPr>
      </w:pPr>
      <w:r w:rsidRPr="00881A3F">
        <w:rPr>
          <w:rFonts w:ascii="Times New Roman" w:hAnsi="Times New Roman" w:cs="Times New Roman"/>
          <w:sz w:val="22"/>
          <w:szCs w:val="22"/>
        </w:rPr>
        <w:t>All the samples were diluted serially two-fold (1:8 to 1:2048) in duplicate and incubated with an equal volume of viruses at 100 CCID50/50</w:t>
      </w:r>
      <w:r>
        <w:rPr>
          <w:rFonts w:ascii="Times New Roman" w:hAnsi="Times New Roman" w:cs="Times New Roman"/>
          <w:sz w:val="22"/>
          <w:szCs w:val="22"/>
        </w:rPr>
        <w:t xml:space="preserve"> </w:t>
      </w:r>
      <w:r w:rsidRPr="00881A3F">
        <w:rPr>
          <w:rFonts w:ascii="Times New Roman" w:hAnsi="Times New Roman" w:cs="Times New Roman"/>
          <w:sz w:val="22"/>
          <w:szCs w:val="22"/>
        </w:rPr>
        <w:t xml:space="preserve">μL. After </w:t>
      </w:r>
      <w:r>
        <w:rPr>
          <w:rFonts w:ascii="Times New Roman" w:hAnsi="Times New Roman" w:cs="Times New Roman"/>
          <w:sz w:val="22"/>
          <w:szCs w:val="22"/>
        </w:rPr>
        <w:t xml:space="preserve">a </w:t>
      </w:r>
      <w:r w:rsidRPr="00881A3F">
        <w:rPr>
          <w:rFonts w:ascii="Times New Roman" w:hAnsi="Times New Roman" w:cs="Times New Roman"/>
          <w:sz w:val="22"/>
          <w:szCs w:val="22"/>
        </w:rPr>
        <w:t>two-hour incubation at 37</w:t>
      </w:r>
      <w:r>
        <w:rPr>
          <w:rFonts w:ascii="Times New Roman" w:hAnsi="Times New Roman" w:cs="Times New Roman"/>
          <w:sz w:val="22"/>
          <w:szCs w:val="22"/>
        </w:rPr>
        <w:t xml:space="preserve"> </w:t>
      </w:r>
      <w:r w:rsidRPr="00881A3F">
        <w:rPr>
          <w:rFonts w:ascii="Times New Roman" w:eastAsia="宋体" w:hAnsi="Times New Roman" w:cs="Times New Roman"/>
          <w:sz w:val="22"/>
          <w:szCs w:val="22"/>
        </w:rPr>
        <w:t>℃</w:t>
      </w:r>
      <w:r w:rsidRPr="00881A3F">
        <w:rPr>
          <w:rFonts w:ascii="Times New Roman" w:hAnsi="Times New Roman" w:cs="Times New Roman"/>
          <w:sz w:val="22"/>
          <w:szCs w:val="22"/>
        </w:rPr>
        <w:t xml:space="preserve">, the mixtures were then added </w:t>
      </w:r>
      <w:r>
        <w:rPr>
          <w:rFonts w:ascii="Times New Roman" w:hAnsi="Times New Roman" w:cs="Times New Roman"/>
          <w:sz w:val="22"/>
          <w:szCs w:val="22"/>
        </w:rPr>
        <w:t>to</w:t>
      </w:r>
      <w:r w:rsidRPr="00881A3F">
        <w:rPr>
          <w:rFonts w:ascii="Times New Roman" w:hAnsi="Times New Roman" w:cs="Times New Roman"/>
          <w:sz w:val="22"/>
          <w:szCs w:val="22"/>
        </w:rPr>
        <w:t xml:space="preserve"> RD cells in 96-well cell culture plates (1×10</w:t>
      </w:r>
      <w:r w:rsidRPr="00881A3F">
        <w:rPr>
          <w:rFonts w:ascii="Times New Roman" w:hAnsi="Times New Roman" w:cs="Times New Roman"/>
          <w:sz w:val="22"/>
          <w:szCs w:val="22"/>
          <w:vertAlign w:val="superscript"/>
        </w:rPr>
        <w:t>5</w:t>
      </w:r>
      <w:r>
        <w:rPr>
          <w:rFonts w:ascii="Times New Roman" w:hAnsi="Times New Roman" w:cs="Times New Roman"/>
          <w:sz w:val="22"/>
          <w:szCs w:val="22"/>
          <w:vertAlign w:val="superscript"/>
        </w:rPr>
        <w:t xml:space="preserve"> </w:t>
      </w:r>
      <w:r w:rsidRPr="00881A3F">
        <w:rPr>
          <w:rFonts w:ascii="Times New Roman" w:hAnsi="Times New Roman" w:cs="Times New Roman"/>
          <w:sz w:val="22"/>
          <w:szCs w:val="22"/>
        </w:rPr>
        <w:t>cells/mL) and incubated at 37</w:t>
      </w:r>
      <w:r>
        <w:rPr>
          <w:rFonts w:ascii="Times New Roman" w:hAnsi="Times New Roman" w:cs="Times New Roman"/>
          <w:sz w:val="22"/>
          <w:szCs w:val="22"/>
        </w:rPr>
        <w:t xml:space="preserve"> </w:t>
      </w:r>
      <w:r w:rsidRPr="00881A3F">
        <w:rPr>
          <w:rFonts w:ascii="Times New Roman" w:eastAsia="宋体" w:hAnsi="Times New Roman" w:cs="Times New Roman"/>
          <w:sz w:val="22"/>
          <w:szCs w:val="22"/>
        </w:rPr>
        <w:t>℃</w:t>
      </w:r>
      <w:r w:rsidRPr="00881A3F">
        <w:rPr>
          <w:rFonts w:ascii="Times New Roman" w:hAnsi="Times New Roman" w:cs="Times New Roman"/>
          <w:sz w:val="22"/>
          <w:szCs w:val="22"/>
        </w:rPr>
        <w:t xml:space="preserve"> for 7 days. Cytopathic effect (CPE) was observed under an inverted microscope. Each batch of tests included virus back titration, serum toxicity control</w:t>
      </w:r>
      <w:r>
        <w:rPr>
          <w:rFonts w:ascii="Times New Roman" w:hAnsi="Times New Roman" w:cs="Times New Roman"/>
          <w:sz w:val="22"/>
          <w:szCs w:val="22"/>
        </w:rPr>
        <w:t>,</w:t>
      </w:r>
      <w:r w:rsidRPr="00881A3F">
        <w:rPr>
          <w:rFonts w:ascii="Times New Roman" w:hAnsi="Times New Roman" w:cs="Times New Roman"/>
          <w:sz w:val="22"/>
          <w:szCs w:val="22"/>
        </w:rPr>
        <w:t xml:space="preserve"> and cell control. The virus back titration should be within the range of 32</w:t>
      </w:r>
      <w:r w:rsidRPr="00D9060A">
        <w:rPr>
          <w:rFonts w:ascii="Times New Roman" w:eastAsia="宋体" w:hAnsi="Times New Roman" w:cs="Times New Roman"/>
          <w:kern w:val="0"/>
          <w:sz w:val="22"/>
        </w:rPr>
        <w:t>–</w:t>
      </w:r>
      <w:r w:rsidRPr="00881A3F">
        <w:rPr>
          <w:rFonts w:ascii="Times New Roman" w:hAnsi="Times New Roman" w:cs="Times New Roman"/>
          <w:sz w:val="22"/>
          <w:szCs w:val="22"/>
        </w:rPr>
        <w:t>320 CCID 50/50</w:t>
      </w:r>
      <w:r>
        <w:rPr>
          <w:rFonts w:ascii="Times New Roman" w:hAnsi="Times New Roman" w:cs="Times New Roman"/>
          <w:sz w:val="22"/>
          <w:szCs w:val="22"/>
        </w:rPr>
        <w:t xml:space="preserve"> </w:t>
      </w:r>
      <w:r w:rsidRPr="00881A3F">
        <w:rPr>
          <w:rFonts w:ascii="Times New Roman" w:hAnsi="Times New Roman" w:cs="Times New Roman"/>
          <w:sz w:val="22"/>
          <w:szCs w:val="22"/>
        </w:rPr>
        <w:t xml:space="preserve">μL. NtAb titers were defined as the highest dilution capable of inhibiting over 50% of CPE of the well. </w:t>
      </w:r>
    </w:p>
    <w:p w:rsidR="00174B10" w:rsidRPr="00881A3F" w:rsidRDefault="00174B10" w:rsidP="00881A3F">
      <w:pPr>
        <w:adjustRightInd w:val="0"/>
        <w:snapToGrid w:val="0"/>
        <w:spacing w:line="360" w:lineRule="auto"/>
        <w:rPr>
          <w:rFonts w:ascii="Times New Roman" w:hAnsi="Times New Roman" w:cs="Times New Roman"/>
          <w:b/>
          <w:sz w:val="22"/>
          <w:szCs w:val="22"/>
        </w:rPr>
      </w:pPr>
      <w:r w:rsidRPr="00881A3F">
        <w:rPr>
          <w:rFonts w:ascii="Times New Roman" w:hAnsi="Times New Roman" w:cs="Times New Roman"/>
          <w:b/>
          <w:sz w:val="22"/>
          <w:szCs w:val="22"/>
        </w:rPr>
        <w:t>Statistical analysis</w:t>
      </w:r>
    </w:p>
    <w:p w:rsidR="00174B10" w:rsidRPr="00881A3F" w:rsidRDefault="00174B10" w:rsidP="00881A3F">
      <w:pPr>
        <w:adjustRightInd w:val="0"/>
        <w:snapToGrid w:val="0"/>
        <w:spacing w:line="360" w:lineRule="auto"/>
        <w:ind w:firstLineChars="200" w:firstLine="440"/>
        <w:rPr>
          <w:rFonts w:ascii="Times New Roman" w:hAnsi="Times New Roman" w:cs="Times New Roman"/>
          <w:sz w:val="22"/>
          <w:szCs w:val="22"/>
        </w:rPr>
      </w:pPr>
      <w:r w:rsidRPr="00881A3F">
        <w:rPr>
          <w:rFonts w:ascii="Times New Roman" w:hAnsi="Times New Roman" w:cs="Times New Roman"/>
          <w:sz w:val="22"/>
          <w:szCs w:val="22"/>
        </w:rPr>
        <w:t xml:space="preserve">NtAb titers from positive serum samples were log-transformed to calculate the </w:t>
      </w:r>
      <w:r w:rsidRPr="00F0032C">
        <w:rPr>
          <w:rFonts w:ascii="Times New Roman" w:hAnsi="Times New Roman" w:cs="Times New Roman"/>
          <w:sz w:val="22"/>
          <w:szCs w:val="22"/>
        </w:rPr>
        <w:t xml:space="preserve">geometric mean titer </w:t>
      </w:r>
      <w:r>
        <w:rPr>
          <w:rFonts w:ascii="Times New Roman" w:hAnsi="Times New Roman" w:cs="Times New Roman"/>
          <w:sz w:val="22"/>
          <w:szCs w:val="22"/>
        </w:rPr>
        <w:t>(</w:t>
      </w:r>
      <w:r w:rsidRPr="00881A3F">
        <w:rPr>
          <w:rFonts w:ascii="Times New Roman" w:hAnsi="Times New Roman" w:cs="Times New Roman"/>
          <w:sz w:val="22"/>
          <w:szCs w:val="22"/>
        </w:rPr>
        <w:t>GMT</w:t>
      </w:r>
      <w:r>
        <w:rPr>
          <w:rFonts w:ascii="Times New Roman" w:hAnsi="Times New Roman" w:cs="Times New Roman"/>
          <w:sz w:val="22"/>
          <w:szCs w:val="22"/>
        </w:rPr>
        <w:t>)</w:t>
      </w:r>
      <w:r w:rsidRPr="00881A3F">
        <w:rPr>
          <w:rFonts w:ascii="Times New Roman" w:hAnsi="Times New Roman" w:cs="Times New Roman"/>
          <w:sz w:val="22"/>
          <w:szCs w:val="22"/>
        </w:rPr>
        <w:t xml:space="preserve"> values and 95% confidence intervals (CI). NtAb titers below 8 and more than 2048 were assigned as 4 and 4096. Titers of ≥</w:t>
      </w:r>
      <w:r>
        <w:rPr>
          <w:rFonts w:ascii="Times New Roman" w:hAnsi="Times New Roman" w:cs="Times New Roman"/>
          <w:sz w:val="22"/>
          <w:szCs w:val="22"/>
        </w:rPr>
        <w:t xml:space="preserve"> </w:t>
      </w:r>
      <w:r w:rsidRPr="00881A3F">
        <w:rPr>
          <w:rFonts w:ascii="Times New Roman" w:hAnsi="Times New Roman" w:cs="Times New Roman"/>
          <w:sz w:val="22"/>
          <w:szCs w:val="22"/>
        </w:rPr>
        <w:t xml:space="preserve">8 were considered as the threshold of NtAb-positive. All statistical analyses were performed using Graphpad Prism 9.0. </w:t>
      </w:r>
      <w:r>
        <w:rPr>
          <w:rFonts w:ascii="Times New Roman" w:hAnsi="Times New Roman" w:cs="Times New Roman"/>
          <w:sz w:val="22"/>
          <w:szCs w:val="22"/>
        </w:rPr>
        <w:t>The</w:t>
      </w:r>
      <w:r w:rsidRPr="00881A3F">
        <w:rPr>
          <w:rFonts w:ascii="Times New Roman" w:hAnsi="Times New Roman" w:cs="Times New Roman"/>
          <w:sz w:val="22"/>
          <w:szCs w:val="22"/>
        </w:rPr>
        <w:t xml:space="preserve"> </w:t>
      </w:r>
      <w:r w:rsidRPr="00722E4E">
        <w:rPr>
          <w:rFonts w:ascii="Times New Roman" w:hAnsi="Times New Roman" w:cs="Times New Roman"/>
          <w:i/>
          <w:sz w:val="22"/>
          <w:szCs w:val="22"/>
        </w:rPr>
        <w:t>χ2</w:t>
      </w:r>
      <w:r w:rsidRPr="00881A3F">
        <w:rPr>
          <w:rFonts w:ascii="Times New Roman" w:hAnsi="Times New Roman" w:cs="Times New Roman"/>
          <w:sz w:val="22"/>
          <w:szCs w:val="22"/>
        </w:rPr>
        <w:t xml:space="preserve"> test was used to compare the distribution of seropositive rates of different age and gender groups. Kruskal-Wallis test was used to compare the GMT values of different age and gender groups. A </w:t>
      </w:r>
      <w:r w:rsidRPr="00722E4E">
        <w:rPr>
          <w:rFonts w:ascii="Times New Roman" w:hAnsi="Times New Roman" w:cs="Times New Roman"/>
          <w:i/>
          <w:sz w:val="22"/>
          <w:szCs w:val="22"/>
        </w:rPr>
        <w:t>P</w:t>
      </w:r>
      <w:r w:rsidRPr="00881A3F">
        <w:rPr>
          <w:rFonts w:ascii="Times New Roman" w:hAnsi="Times New Roman" w:cs="Times New Roman"/>
          <w:sz w:val="22"/>
          <w:szCs w:val="22"/>
        </w:rPr>
        <w:t>-value &lt; 0.05 was considered statistically significant.</w:t>
      </w:r>
    </w:p>
    <w:p w:rsidR="00174B10" w:rsidRDefault="00174B10" w:rsidP="00F75851">
      <w:pPr>
        <w:adjustRightInd w:val="0"/>
        <w:snapToGrid w:val="0"/>
        <w:spacing w:line="360" w:lineRule="auto"/>
        <w:ind w:firstLine="450"/>
        <w:rPr>
          <w:rFonts w:ascii="Times New Roman" w:hAnsi="Times New Roman" w:cs="Times New Roman"/>
          <w:color w:val="C00000"/>
          <w:sz w:val="22"/>
          <w:szCs w:val="22"/>
        </w:rPr>
      </w:pPr>
      <w:r w:rsidRPr="00881A3F">
        <w:rPr>
          <w:rFonts w:ascii="Times New Roman" w:hAnsi="Times New Roman" w:cs="Times New Roman"/>
          <w:color w:val="C00000"/>
          <w:sz w:val="22"/>
          <w:szCs w:val="22"/>
        </w:rPr>
        <w:t xml:space="preserve"> </w:t>
      </w:r>
    </w:p>
    <w:p w:rsidR="00174B10" w:rsidRPr="00881A3F" w:rsidRDefault="00174B10" w:rsidP="00881A3F">
      <w:pPr>
        <w:adjustRightInd w:val="0"/>
        <w:snapToGrid w:val="0"/>
        <w:spacing w:line="360" w:lineRule="auto"/>
        <w:rPr>
          <w:rFonts w:ascii="Times New Roman" w:hAnsi="Times New Roman" w:cs="Times New Roman"/>
          <w:b/>
          <w:sz w:val="22"/>
          <w:szCs w:val="22"/>
        </w:rPr>
      </w:pPr>
      <w:r w:rsidRPr="00881A3F">
        <w:rPr>
          <w:rFonts w:ascii="Times New Roman" w:hAnsi="Times New Roman" w:cs="Times New Roman"/>
          <w:b/>
          <w:sz w:val="22"/>
          <w:szCs w:val="22"/>
        </w:rPr>
        <w:lastRenderedPageBreak/>
        <w:t>References</w:t>
      </w:r>
    </w:p>
    <w:p w:rsidR="00733B52" w:rsidRPr="00E644B9" w:rsidRDefault="00733B52" w:rsidP="00733B52">
      <w:pPr>
        <w:pStyle w:val="EndNoteBibliography"/>
        <w:ind w:left="720" w:hanging="720"/>
        <w:rPr>
          <w:rFonts w:ascii="Times New Roman" w:hAnsi="Times New Roman" w:cs="Times New Roman"/>
        </w:rPr>
      </w:pPr>
      <w:bookmarkStart w:id="0" w:name="_ENREF_1"/>
      <w:r w:rsidRPr="00E644B9">
        <w:rPr>
          <w:rFonts w:ascii="Times New Roman" w:hAnsi="Times New Roman" w:cs="Times New Roman"/>
        </w:rPr>
        <w:t>Han, Z., Song, Y., Xiao, J., Jiang, L., Huang, W., Wei, H., Li, J., Zeng, H., Yu, Q., Li, J., Yu, D., Zhang, Y., Li, C., Zhan, Z., Shi, Y., Xiong, Y., Wang, X., Ji, T., Yang, Q., Zhu, S., Yan, D., Xu, W.,</w:t>
      </w:r>
      <w:r w:rsidR="00E644B9">
        <w:rPr>
          <w:rFonts w:ascii="Times New Roman" w:hAnsi="Times New Roman" w:cs="Times New Roman"/>
        </w:rPr>
        <w:t xml:space="preserve"> </w:t>
      </w:r>
      <w:r w:rsidRPr="00E644B9">
        <w:rPr>
          <w:rFonts w:ascii="Times New Roman" w:hAnsi="Times New Roman" w:cs="Times New Roman"/>
        </w:rPr>
        <w:t>Zhang, Y., 2020. Genomic epidemiology of coxsackievirus A16 in mainland of China, 2000-18. Virus Evol, 6, veaa084.</w:t>
      </w:r>
      <w:bookmarkEnd w:id="0"/>
    </w:p>
    <w:p w:rsidR="00733B52" w:rsidRPr="00E644B9" w:rsidRDefault="00733B52" w:rsidP="00733B52">
      <w:pPr>
        <w:pStyle w:val="EndNoteBibliography"/>
        <w:ind w:left="720" w:hanging="720"/>
        <w:rPr>
          <w:rFonts w:ascii="Times New Roman" w:hAnsi="Times New Roman" w:cs="Times New Roman"/>
        </w:rPr>
      </w:pPr>
      <w:bookmarkStart w:id="1" w:name="_ENREF_2"/>
      <w:r w:rsidRPr="00E644B9">
        <w:rPr>
          <w:rFonts w:ascii="Times New Roman" w:hAnsi="Times New Roman" w:cs="Times New Roman"/>
        </w:rPr>
        <w:t>Ji, T., Guo, Y., Huang, W., Shi, Y., Xu, Y., Tong, W., Yao, W., Tan, Z., Zeng, H., Ma, J., Zhao, H., Han, T., Zhang, Y., Yan, D., Yang, Q., Zhu, S., Zhang, Y.,</w:t>
      </w:r>
      <w:r w:rsidR="00E644B9">
        <w:rPr>
          <w:rFonts w:ascii="Times New Roman" w:hAnsi="Times New Roman" w:cs="Times New Roman"/>
        </w:rPr>
        <w:t xml:space="preserve"> </w:t>
      </w:r>
      <w:r w:rsidRPr="00E644B9">
        <w:rPr>
          <w:rFonts w:ascii="Times New Roman" w:hAnsi="Times New Roman" w:cs="Times New Roman"/>
        </w:rPr>
        <w:t>Xu, W., 2018. The emerging sub-genotype C2 of CoxsackievirusA10 Associated with Hand, Foot and Mouth Disease extensively circulating in mainland of China. Sci Rep, 8, 13357.</w:t>
      </w:r>
      <w:bookmarkEnd w:id="1"/>
    </w:p>
    <w:p w:rsidR="00733B52" w:rsidRPr="00E644B9" w:rsidRDefault="00733B52" w:rsidP="00733B52">
      <w:pPr>
        <w:pStyle w:val="EndNoteBibliography"/>
        <w:ind w:left="720" w:hanging="720"/>
        <w:rPr>
          <w:rFonts w:ascii="Times New Roman" w:hAnsi="Times New Roman" w:cs="Times New Roman"/>
        </w:rPr>
      </w:pPr>
      <w:bookmarkStart w:id="2" w:name="_ENREF_3"/>
      <w:r w:rsidRPr="00E644B9">
        <w:rPr>
          <w:rFonts w:ascii="Times New Roman" w:hAnsi="Times New Roman" w:cs="Times New Roman"/>
        </w:rPr>
        <w:t>Ji, T., Guo, Y., Lv, L., Wang, J., Shi, Y., Yu, Q., Zhang, F., Tong, W., Ma, J., Zeng, H., Zhao, H., Zhang, Y., Han, T., Song, Y., Yan, D., Yang, Q., Zhu, S., Zhang, Y.,</w:t>
      </w:r>
      <w:r w:rsidR="00E644B9">
        <w:rPr>
          <w:rFonts w:ascii="Times New Roman" w:hAnsi="Times New Roman" w:cs="Times New Roman"/>
        </w:rPr>
        <w:t xml:space="preserve"> </w:t>
      </w:r>
      <w:r w:rsidRPr="00E644B9">
        <w:rPr>
          <w:rFonts w:ascii="Times New Roman" w:hAnsi="Times New Roman" w:cs="Times New Roman"/>
        </w:rPr>
        <w:t>Xu, W., 2019. Emerging recombination of the C2 sub-genotype of HFMD-associated CV-A4 is persistently and extensively circulating in China. Sci Rep, 9, 13668.</w:t>
      </w:r>
      <w:bookmarkEnd w:id="2"/>
    </w:p>
    <w:p w:rsidR="00733B52" w:rsidRPr="00E644B9" w:rsidRDefault="00733B52" w:rsidP="00733B52">
      <w:pPr>
        <w:pStyle w:val="EndNoteBibliography"/>
        <w:ind w:left="720" w:hanging="720"/>
        <w:rPr>
          <w:rFonts w:ascii="Times New Roman" w:hAnsi="Times New Roman" w:cs="Times New Roman"/>
        </w:rPr>
      </w:pPr>
      <w:bookmarkStart w:id="3" w:name="_ENREF_4"/>
      <w:r w:rsidRPr="00E644B9">
        <w:rPr>
          <w:rFonts w:ascii="Times New Roman" w:hAnsi="Times New Roman" w:cs="Times New Roman"/>
        </w:rPr>
        <w:t>Song, Y., Zhang, Y., Han, Z., Xu, W., Xiao, J., Wang, X., Wang, J., Yang, J., Yu, Q., Yu, D., Chen, J., Huang, W., Li, J., Xie, T., Lu, H., Ji, T., Yang, Q., Yan, D., Zhu, S.,</w:t>
      </w:r>
      <w:r w:rsidR="00E644B9">
        <w:rPr>
          <w:rFonts w:ascii="Times New Roman" w:hAnsi="Times New Roman" w:cs="Times New Roman"/>
        </w:rPr>
        <w:t xml:space="preserve"> </w:t>
      </w:r>
      <w:r w:rsidRPr="00E644B9">
        <w:rPr>
          <w:rFonts w:ascii="Times New Roman" w:hAnsi="Times New Roman" w:cs="Times New Roman"/>
        </w:rPr>
        <w:t>Xu, W., 2020. Genetic recombination in fast-spreading coxsackievirus A6 variants: a potential role in evolution and pathogenicity. Virus Evol, 6, veaa048.</w:t>
      </w:r>
      <w:bookmarkEnd w:id="3"/>
    </w:p>
    <w:p w:rsidR="00733B52" w:rsidRPr="00E644B9" w:rsidRDefault="00733B52" w:rsidP="00733B52">
      <w:pPr>
        <w:pStyle w:val="EndNoteBibliography"/>
        <w:ind w:left="720" w:hanging="720"/>
        <w:rPr>
          <w:rFonts w:ascii="Times New Roman" w:hAnsi="Times New Roman" w:cs="Times New Roman"/>
        </w:rPr>
      </w:pPr>
      <w:bookmarkStart w:id="4" w:name="_ENREF_5"/>
      <w:r w:rsidRPr="00E644B9">
        <w:rPr>
          <w:rFonts w:ascii="Times New Roman" w:hAnsi="Times New Roman" w:cs="Times New Roman"/>
        </w:rPr>
        <w:t>Xiao, J., Huang, K., Lu, H., Song, Y., Han, Z., Zhang, M., Li, J., Zhou, X., Chen, J., Yu, Q., Yang, M., Yan, D., Ji, T., Yang, Q., Zhu, S., Xu, W.,</w:t>
      </w:r>
      <w:r w:rsidR="00E644B9">
        <w:rPr>
          <w:rFonts w:ascii="Times New Roman" w:hAnsi="Times New Roman" w:cs="Times New Roman"/>
        </w:rPr>
        <w:t xml:space="preserve"> </w:t>
      </w:r>
      <w:r w:rsidRPr="00E644B9">
        <w:rPr>
          <w:rFonts w:ascii="Times New Roman" w:hAnsi="Times New Roman" w:cs="Times New Roman"/>
        </w:rPr>
        <w:t>Zhang, Y., 2022. Genomic Epidemiology and Phylodynamic Analysis of Enterovirus A71 Reveal Its Transmission Dynamics in Asia. Microbiol Spectr, 10, e0195822.</w:t>
      </w:r>
      <w:bookmarkEnd w:id="4"/>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Pr="00881A3F" w:rsidRDefault="00174B10" w:rsidP="00881A3F">
      <w:pPr>
        <w:adjustRightInd w:val="0"/>
        <w:snapToGrid w:val="0"/>
        <w:spacing w:line="360" w:lineRule="auto"/>
        <w:rPr>
          <w:rFonts w:ascii="Times New Roman" w:hAnsi="Times New Roman" w:cs="Times New Roman"/>
        </w:rPr>
      </w:pPr>
    </w:p>
    <w:p w:rsidR="00174B10" w:rsidRDefault="00174B10"/>
    <w:p w:rsidR="00174B10" w:rsidRDefault="00174B10"/>
    <w:p w:rsidR="00174B10" w:rsidRDefault="00174B10"/>
    <w:p w:rsidR="00174B10" w:rsidRDefault="00174B10"/>
    <w:p w:rsidR="00174B10" w:rsidRDefault="00174B10"/>
    <w:p w:rsidR="00174B10" w:rsidRDefault="00174B10"/>
    <w:p w:rsidR="00174B10" w:rsidRDefault="00174B10"/>
    <w:p w:rsidR="00174B10" w:rsidRDefault="00174B10"/>
    <w:p w:rsidR="00174B10" w:rsidRDefault="00174B10"/>
    <w:p w:rsidR="00174B10" w:rsidRDefault="00174B10"/>
    <w:p w:rsidR="00174B10" w:rsidRDefault="00174B10"/>
    <w:p w:rsidR="00174B10" w:rsidRPr="00AA1994" w:rsidRDefault="00733B52">
      <w:bookmarkStart w:id="5" w:name="_GoBack"/>
      <w:r>
        <w:rPr>
          <w:noProof/>
          <w:szCs w:val="21"/>
        </w:rPr>
        <w:lastRenderedPageBreak/>
        <w:drawing>
          <wp:inline distT="0" distB="0" distL="0" distR="0">
            <wp:extent cx="6188710" cy="58959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mentary Figure 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5895975"/>
                    </a:xfrm>
                    <a:prstGeom prst="rect">
                      <a:avLst/>
                    </a:prstGeom>
                  </pic:spPr>
                </pic:pic>
              </a:graphicData>
            </a:graphic>
          </wp:inline>
        </w:drawing>
      </w:r>
      <w:bookmarkEnd w:id="5"/>
    </w:p>
    <w:p w:rsidR="00174B10" w:rsidRPr="00AA1994" w:rsidRDefault="00174B10" w:rsidP="00F0032C">
      <w:pPr>
        <w:adjustRightInd w:val="0"/>
        <w:snapToGrid w:val="0"/>
        <w:spacing w:line="360" w:lineRule="auto"/>
        <w:rPr>
          <w:rFonts w:ascii="Times New Roman" w:hAnsi="Times New Roman" w:cs="Times New Roman"/>
          <w:sz w:val="22"/>
          <w:szCs w:val="22"/>
        </w:rPr>
      </w:pPr>
      <w:r w:rsidRPr="00AA1994">
        <w:rPr>
          <w:rFonts w:ascii="Times New Roman" w:hAnsi="Times New Roman" w:cs="Times New Roman" w:hint="eastAsia"/>
          <w:b/>
          <w:sz w:val="22"/>
          <w:szCs w:val="22"/>
        </w:rPr>
        <w:t xml:space="preserve">Supplementary Figure 1. </w:t>
      </w:r>
      <w:r w:rsidRPr="00AA1994">
        <w:rPr>
          <w:rFonts w:ascii="Times New Roman" w:hAnsi="Times New Roman" w:cs="Times New Roman"/>
          <w:sz w:val="22"/>
          <w:szCs w:val="22"/>
        </w:rPr>
        <w:t xml:space="preserve">Phylogenetic analysis of </w:t>
      </w:r>
      <w:r w:rsidRPr="00AA1994">
        <w:rPr>
          <w:rFonts w:ascii="Times New Roman" w:hAnsi="Times New Roman" w:cs="Times New Roman" w:hint="eastAsia"/>
          <w:sz w:val="22"/>
          <w:szCs w:val="22"/>
        </w:rPr>
        <w:t>enterovirus</w:t>
      </w:r>
      <w:r w:rsidRPr="00AA1994">
        <w:rPr>
          <w:rFonts w:ascii="Times New Roman" w:hAnsi="Times New Roman" w:cs="Times New Roman"/>
          <w:sz w:val="22"/>
          <w:szCs w:val="22"/>
        </w:rPr>
        <w:t xml:space="preserve"> isolates </w:t>
      </w:r>
      <w:r w:rsidRPr="00AA1994">
        <w:rPr>
          <w:rFonts w:ascii="Times New Roman" w:hAnsi="Times New Roman" w:cs="Times New Roman" w:hint="eastAsia"/>
          <w:sz w:val="22"/>
          <w:szCs w:val="22"/>
        </w:rPr>
        <w:t xml:space="preserve">used in current study </w:t>
      </w:r>
      <w:r w:rsidRPr="00AA1994">
        <w:rPr>
          <w:rFonts w:ascii="Times New Roman" w:hAnsi="Times New Roman" w:cs="Times New Roman"/>
          <w:sz w:val="22"/>
          <w:szCs w:val="22"/>
        </w:rPr>
        <w:t xml:space="preserve">based on complete </w:t>
      </w:r>
      <w:r w:rsidRPr="00A46369">
        <w:rPr>
          <w:rFonts w:ascii="Times New Roman" w:hAnsi="Times New Roman" w:cs="Times New Roman"/>
          <w:i/>
          <w:sz w:val="22"/>
          <w:szCs w:val="22"/>
        </w:rPr>
        <w:t xml:space="preserve">VP1 </w:t>
      </w:r>
      <w:r w:rsidRPr="00AA1994">
        <w:rPr>
          <w:rFonts w:ascii="Times New Roman" w:hAnsi="Times New Roman" w:cs="Times New Roman"/>
          <w:sz w:val="22"/>
          <w:szCs w:val="22"/>
        </w:rPr>
        <w:t>sequences. The phylogenetic</w:t>
      </w:r>
      <w:r w:rsidRPr="00AA1994">
        <w:rPr>
          <w:rFonts w:ascii="Times New Roman" w:hAnsi="Times New Roman" w:cs="Times New Roman" w:hint="eastAsia"/>
          <w:sz w:val="22"/>
          <w:szCs w:val="22"/>
        </w:rPr>
        <w:t xml:space="preserve"> </w:t>
      </w:r>
      <w:r w:rsidRPr="00AA1994">
        <w:rPr>
          <w:rFonts w:ascii="Times New Roman" w:hAnsi="Times New Roman" w:cs="Times New Roman"/>
          <w:sz w:val="22"/>
          <w:szCs w:val="22"/>
        </w:rPr>
        <w:t>dendrogram was constructed by the neighbor-joining method and</w:t>
      </w:r>
      <w:r w:rsidRPr="00AA1994">
        <w:rPr>
          <w:rFonts w:ascii="Times New Roman" w:hAnsi="Times New Roman" w:cs="Times New Roman" w:hint="eastAsia"/>
          <w:sz w:val="22"/>
          <w:szCs w:val="22"/>
        </w:rPr>
        <w:t xml:space="preserve"> </w:t>
      </w:r>
      <w:r w:rsidRPr="00AA1994">
        <w:rPr>
          <w:rFonts w:ascii="Times New Roman" w:hAnsi="Times New Roman" w:cs="Times New Roman"/>
          <w:sz w:val="22"/>
          <w:szCs w:val="22"/>
        </w:rPr>
        <w:t>validated with 1000 replicates. Only</w:t>
      </w:r>
      <w:r w:rsidRPr="00AA1994">
        <w:rPr>
          <w:rFonts w:ascii="Times New Roman" w:hAnsi="Times New Roman" w:cs="Times New Roman" w:hint="eastAsia"/>
          <w:sz w:val="22"/>
          <w:szCs w:val="22"/>
        </w:rPr>
        <w:t xml:space="preserve"> </w:t>
      </w:r>
      <w:r w:rsidRPr="00AA1994">
        <w:rPr>
          <w:rFonts w:ascii="Times New Roman" w:hAnsi="Times New Roman" w:cs="Times New Roman"/>
          <w:sz w:val="22"/>
          <w:szCs w:val="22"/>
        </w:rPr>
        <w:t>bootstrap values over 70% are shown.</w:t>
      </w:r>
      <w:r w:rsidRPr="00AA1994">
        <w:rPr>
          <w:rFonts w:ascii="Times New Roman" w:hAnsi="Times New Roman" w:cs="Times New Roman" w:hint="eastAsia"/>
          <w:sz w:val="22"/>
          <w:szCs w:val="22"/>
        </w:rPr>
        <w:t xml:space="preserve"> </w:t>
      </w:r>
      <w:r w:rsidRPr="00AA1994">
        <w:rPr>
          <w:rFonts w:ascii="Times New Roman" w:hAnsi="Times New Roman" w:cs="Times New Roman"/>
          <w:sz w:val="22"/>
          <w:szCs w:val="22"/>
        </w:rPr>
        <w:t xml:space="preserve">Sequences </w:t>
      </w:r>
      <w:r w:rsidRPr="00AA1994">
        <w:rPr>
          <w:rFonts w:ascii="Times New Roman" w:hAnsi="Times New Roman" w:cs="Times New Roman" w:hint="eastAsia"/>
          <w:sz w:val="22"/>
          <w:szCs w:val="22"/>
        </w:rPr>
        <w:t xml:space="preserve">used in the current study were marked with red dot. </w:t>
      </w:r>
      <w:r w:rsidRPr="00AA1994">
        <w:rPr>
          <w:rFonts w:ascii="Times New Roman" w:hAnsi="Times New Roman" w:cs="Times New Roman" w:hint="eastAsia"/>
          <w:b/>
          <w:sz w:val="22"/>
          <w:szCs w:val="22"/>
        </w:rPr>
        <w:t xml:space="preserve">A. </w:t>
      </w:r>
      <w:r w:rsidRPr="00AA1994">
        <w:rPr>
          <w:rFonts w:ascii="Times New Roman" w:hAnsi="Times New Roman" w:cs="Times New Roman" w:hint="eastAsia"/>
          <w:sz w:val="22"/>
          <w:szCs w:val="22"/>
        </w:rPr>
        <w:t xml:space="preserve">EV-A71. </w:t>
      </w:r>
      <w:r w:rsidRPr="00AA1994">
        <w:rPr>
          <w:rFonts w:ascii="Times New Roman" w:hAnsi="Times New Roman" w:cs="Times New Roman" w:hint="eastAsia"/>
          <w:b/>
          <w:sz w:val="22"/>
          <w:szCs w:val="22"/>
        </w:rPr>
        <w:t xml:space="preserve">B. </w:t>
      </w:r>
      <w:r w:rsidRPr="00AA1994">
        <w:rPr>
          <w:rFonts w:ascii="Times New Roman" w:hAnsi="Times New Roman" w:cs="Times New Roman" w:hint="eastAsia"/>
          <w:sz w:val="22"/>
          <w:szCs w:val="22"/>
        </w:rPr>
        <w:t>CVA16.</w:t>
      </w:r>
      <w:r w:rsidRPr="00AA1994">
        <w:rPr>
          <w:rFonts w:ascii="Times New Roman" w:hAnsi="Times New Roman" w:cs="Times New Roman" w:hint="eastAsia"/>
          <w:b/>
          <w:sz w:val="22"/>
          <w:szCs w:val="22"/>
        </w:rPr>
        <w:t xml:space="preserve"> C. </w:t>
      </w:r>
      <w:r w:rsidRPr="00AA1994">
        <w:rPr>
          <w:rFonts w:ascii="Times New Roman" w:hAnsi="Times New Roman" w:cs="Times New Roman" w:hint="eastAsia"/>
          <w:sz w:val="22"/>
          <w:szCs w:val="22"/>
        </w:rPr>
        <w:t>CVA6.</w:t>
      </w:r>
      <w:r w:rsidRPr="00AA1994">
        <w:rPr>
          <w:rFonts w:ascii="Times New Roman" w:hAnsi="Times New Roman" w:cs="Times New Roman" w:hint="eastAsia"/>
          <w:b/>
          <w:sz w:val="22"/>
          <w:szCs w:val="22"/>
        </w:rPr>
        <w:t xml:space="preserve"> D. </w:t>
      </w:r>
      <w:r w:rsidRPr="00AA1994">
        <w:rPr>
          <w:rFonts w:ascii="Times New Roman" w:hAnsi="Times New Roman" w:cs="Times New Roman" w:hint="eastAsia"/>
          <w:sz w:val="22"/>
          <w:szCs w:val="22"/>
        </w:rPr>
        <w:t>CVA10.</w:t>
      </w:r>
      <w:r w:rsidRPr="00AA1994">
        <w:rPr>
          <w:rFonts w:ascii="Times New Roman" w:hAnsi="Times New Roman" w:cs="Times New Roman" w:hint="eastAsia"/>
          <w:b/>
          <w:sz w:val="22"/>
          <w:szCs w:val="22"/>
        </w:rPr>
        <w:t xml:space="preserve"> E. </w:t>
      </w:r>
      <w:r w:rsidRPr="00AA1994">
        <w:rPr>
          <w:rFonts w:ascii="Times New Roman" w:hAnsi="Times New Roman" w:cs="Times New Roman" w:hint="eastAsia"/>
          <w:sz w:val="22"/>
          <w:szCs w:val="22"/>
        </w:rPr>
        <w:t>CVA4.</w:t>
      </w:r>
    </w:p>
    <w:p w:rsidR="00174B10" w:rsidRPr="00AA1994" w:rsidRDefault="00174B10" w:rsidP="00574AA6">
      <w:pPr>
        <w:spacing w:line="480" w:lineRule="auto"/>
        <w:jc w:val="left"/>
        <w:rPr>
          <w:rFonts w:ascii="Times New Roman" w:hAnsi="Times New Roman" w:cs="Times New Roman"/>
          <w:sz w:val="22"/>
          <w:szCs w:val="22"/>
        </w:rPr>
      </w:pPr>
    </w:p>
    <w:p w:rsidR="00174B10" w:rsidRDefault="00174B10" w:rsidP="008D6F0A">
      <w:pPr>
        <w:rPr>
          <w:rFonts w:ascii="Times New Roman" w:hAnsi="Times New Roman" w:cs="Times New Roman"/>
          <w:sz w:val="22"/>
          <w:szCs w:val="22"/>
        </w:rPr>
      </w:pPr>
    </w:p>
    <w:p w:rsidR="00174B10" w:rsidRDefault="00174B10" w:rsidP="008D6F0A">
      <w:pPr>
        <w:rPr>
          <w:rFonts w:ascii="Times New Roman" w:hAnsi="Times New Roman" w:cs="Times New Roman"/>
          <w:b/>
        </w:rPr>
        <w:sectPr w:rsidR="00174B10" w:rsidSect="006972F4">
          <w:pgSz w:w="11906" w:h="16838"/>
          <w:pgMar w:top="1440" w:right="1080" w:bottom="1440" w:left="1080" w:header="851" w:footer="992" w:gutter="0"/>
          <w:cols w:space="425"/>
          <w:docGrid w:type="lines" w:linePitch="312"/>
        </w:sectPr>
      </w:pPr>
    </w:p>
    <w:p w:rsidR="00174B10" w:rsidRPr="00AA1994" w:rsidRDefault="00174B10" w:rsidP="008475ED">
      <w:pPr>
        <w:spacing w:line="360" w:lineRule="auto"/>
        <w:rPr>
          <w:rFonts w:ascii="Times New Roman" w:hAnsi="Times New Roman" w:cs="Times New Roman"/>
          <w:sz w:val="22"/>
          <w:szCs w:val="22"/>
        </w:rPr>
      </w:pPr>
      <w:r w:rsidRPr="00AA1994">
        <w:rPr>
          <w:rFonts w:ascii="Times New Roman" w:hAnsi="Times New Roman" w:cs="Times New Roman" w:hint="eastAsia"/>
          <w:b/>
          <w:sz w:val="22"/>
          <w:szCs w:val="22"/>
        </w:rPr>
        <w:lastRenderedPageBreak/>
        <w:t xml:space="preserve">Supplementary </w:t>
      </w:r>
      <w:r w:rsidRPr="00AA1994">
        <w:rPr>
          <w:rFonts w:ascii="Times New Roman" w:hAnsi="Times New Roman" w:cs="Times New Roman"/>
          <w:b/>
          <w:sz w:val="22"/>
          <w:szCs w:val="22"/>
        </w:rPr>
        <w:t xml:space="preserve">Table </w:t>
      </w:r>
      <w:r>
        <w:rPr>
          <w:rFonts w:ascii="Times New Roman" w:hAnsi="Times New Roman" w:cs="Times New Roman"/>
          <w:b/>
          <w:sz w:val="22"/>
          <w:szCs w:val="22"/>
        </w:rPr>
        <w:t>S</w:t>
      </w:r>
      <w:r w:rsidRPr="00AA1994">
        <w:rPr>
          <w:rFonts w:ascii="Times New Roman" w:hAnsi="Times New Roman" w:cs="Times New Roman"/>
          <w:b/>
          <w:sz w:val="22"/>
          <w:szCs w:val="22"/>
        </w:rPr>
        <w:t>1</w:t>
      </w:r>
      <w:r w:rsidRPr="00AA1994">
        <w:rPr>
          <w:rFonts w:ascii="Times New Roman" w:hAnsi="Times New Roman" w:cs="Times New Roman"/>
          <w:sz w:val="22"/>
          <w:szCs w:val="22"/>
        </w:rPr>
        <w:t xml:space="preserve"> Demographic Profile of participants in the current study (n</w:t>
      </w:r>
      <w:r>
        <w:rPr>
          <w:rFonts w:ascii="Times New Roman" w:hAnsi="Times New Roman" w:cs="Times New Roman"/>
          <w:sz w:val="22"/>
          <w:szCs w:val="22"/>
        </w:rPr>
        <w:t xml:space="preserve"> </w:t>
      </w:r>
      <w:r w:rsidRPr="00AA1994">
        <w:rPr>
          <w:rFonts w:ascii="Times New Roman" w:hAnsi="Times New Roman" w:cs="Times New Roman"/>
          <w:sz w:val="22"/>
          <w:szCs w:val="22"/>
        </w:rPr>
        <w:t>=</w:t>
      </w:r>
      <w:r>
        <w:rPr>
          <w:rFonts w:ascii="Times New Roman" w:hAnsi="Times New Roman" w:cs="Times New Roman"/>
          <w:sz w:val="22"/>
          <w:szCs w:val="22"/>
        </w:rPr>
        <w:t xml:space="preserve"> </w:t>
      </w:r>
      <w:r w:rsidRPr="00AA1994">
        <w:rPr>
          <w:rFonts w:ascii="Times New Roman" w:hAnsi="Times New Roman" w:cs="Times New Roman"/>
          <w:sz w:val="22"/>
          <w:szCs w:val="22"/>
        </w:rPr>
        <w:t>307)</w:t>
      </w:r>
      <w:r w:rsidRPr="00AA1994">
        <w:rPr>
          <w:rFonts w:ascii="Times New Roman" w:hAnsi="Times New Roman" w:cs="Times New Roman" w:hint="eastAsia"/>
          <w:sz w:val="22"/>
          <w:szCs w:val="22"/>
        </w:rPr>
        <w:t>.</w:t>
      </w:r>
    </w:p>
    <w:tbl>
      <w:tblPr>
        <w:tblW w:w="9224" w:type="dxa"/>
        <w:tblInd w:w="93" w:type="dxa"/>
        <w:tblLook w:val="04A0" w:firstRow="1" w:lastRow="0" w:firstColumn="1" w:lastColumn="0" w:noHBand="0" w:noVBand="1"/>
      </w:tblPr>
      <w:tblGrid>
        <w:gridCol w:w="4367"/>
        <w:gridCol w:w="2452"/>
        <w:gridCol w:w="2405"/>
      </w:tblGrid>
      <w:tr w:rsidR="00174B10" w:rsidRPr="00881A3F" w:rsidTr="00881A3F">
        <w:trPr>
          <w:trHeight w:val="300"/>
        </w:trPr>
        <w:tc>
          <w:tcPr>
            <w:tcW w:w="6819" w:type="dxa"/>
            <w:gridSpan w:val="2"/>
            <w:tcBorders>
              <w:top w:val="single" w:sz="4" w:space="0" w:color="auto"/>
              <w:left w:val="nil"/>
              <w:bottom w:val="single" w:sz="4" w:space="0" w:color="auto"/>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Groups</w:t>
            </w:r>
          </w:p>
        </w:tc>
        <w:tc>
          <w:tcPr>
            <w:tcW w:w="2405" w:type="dxa"/>
            <w:tcBorders>
              <w:top w:val="single" w:sz="4" w:space="0" w:color="auto"/>
              <w:left w:val="nil"/>
              <w:bottom w:val="single" w:sz="4" w:space="0" w:color="auto"/>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N</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881A3F">
            <w:pPr>
              <w:widowControl/>
              <w:jc w:val="left"/>
              <w:rPr>
                <w:rFonts w:ascii="Times New Roman" w:eastAsia="宋体" w:hAnsi="Times New Roman" w:cs="Times New Roman"/>
                <w:b/>
                <w:bCs/>
                <w:kern w:val="0"/>
                <w:sz w:val="22"/>
                <w:szCs w:val="22"/>
              </w:rPr>
            </w:pPr>
            <w:r w:rsidRPr="00881A3F">
              <w:rPr>
                <w:rFonts w:ascii="Times New Roman" w:eastAsia="宋体" w:hAnsi="Times New Roman" w:cs="Times New Roman"/>
                <w:b/>
                <w:bCs/>
                <w:kern w:val="0"/>
                <w:sz w:val="22"/>
                <w:szCs w:val="22"/>
              </w:rPr>
              <w:t>Age (</w:t>
            </w:r>
            <w:r>
              <w:rPr>
                <w:rFonts w:ascii="Times New Roman" w:eastAsia="宋体" w:hAnsi="Times New Roman" w:cs="Times New Roman"/>
                <w:b/>
                <w:bCs/>
                <w:kern w:val="0"/>
                <w:sz w:val="22"/>
                <w:szCs w:val="22"/>
              </w:rPr>
              <w:t>M</w:t>
            </w:r>
            <w:r w:rsidRPr="00881A3F">
              <w:rPr>
                <w:rFonts w:ascii="Times New Roman" w:eastAsia="宋体" w:hAnsi="Times New Roman" w:cs="Times New Roman"/>
                <w:b/>
                <w:bCs/>
                <w:kern w:val="0"/>
                <w:sz w:val="22"/>
                <w:szCs w:val="22"/>
              </w:rPr>
              <w:t>ean</w:t>
            </w:r>
            <w:r>
              <w:rPr>
                <w:rFonts w:ascii="Times New Roman" w:eastAsia="宋体" w:hAnsi="Times New Roman" w:cs="Times New Roman"/>
                <w:b/>
                <w:bCs/>
                <w:kern w:val="0"/>
                <w:sz w:val="22"/>
                <w:szCs w:val="22"/>
              </w:rPr>
              <w:t xml:space="preserve"> </w:t>
            </w:r>
            <w:r w:rsidRPr="00881A3F">
              <w:rPr>
                <w:rFonts w:ascii="Times New Roman" w:eastAsia="宋体" w:hAnsi="Times New Roman" w:cs="Times New Roman"/>
                <w:b/>
                <w:bCs/>
                <w:kern w:val="0"/>
                <w:sz w:val="22"/>
                <w:szCs w:val="22"/>
              </w:rPr>
              <w:t>±</w:t>
            </w:r>
            <w:r>
              <w:rPr>
                <w:rFonts w:ascii="Times New Roman" w:eastAsia="宋体" w:hAnsi="Times New Roman" w:cs="Times New Roman"/>
                <w:b/>
                <w:bCs/>
                <w:kern w:val="0"/>
                <w:sz w:val="22"/>
                <w:szCs w:val="22"/>
              </w:rPr>
              <w:t xml:space="preserve"> </w:t>
            </w:r>
            <w:r w:rsidRPr="00881A3F">
              <w:rPr>
                <w:rFonts w:ascii="Times New Roman" w:eastAsia="宋体" w:hAnsi="Times New Roman" w:cs="Times New Roman"/>
                <w:b/>
                <w:bCs/>
                <w:kern w:val="0"/>
                <w:sz w:val="22"/>
                <w:szCs w:val="22"/>
              </w:rPr>
              <w:t>SD</w:t>
            </w:r>
            <w:r>
              <w:rPr>
                <w:rFonts w:ascii="Times New Roman" w:eastAsia="宋体" w:hAnsi="Times New Roman" w:cs="Times New Roman"/>
                <w:b/>
                <w:bCs/>
                <w:kern w:val="0"/>
                <w:sz w:val="22"/>
                <w:szCs w:val="22"/>
              </w:rPr>
              <w:t xml:space="preserve">, </w:t>
            </w:r>
            <w:r w:rsidRPr="00881A3F">
              <w:rPr>
                <w:rFonts w:ascii="Times New Roman" w:eastAsia="宋体" w:hAnsi="Times New Roman" w:cs="Times New Roman"/>
                <w:b/>
                <w:bCs/>
                <w:kern w:val="0"/>
                <w:sz w:val="22"/>
                <w:szCs w:val="22"/>
              </w:rPr>
              <w:t>years)</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r>
      <w:tr w:rsidR="00174B10" w:rsidRPr="00881A3F" w:rsidTr="00881A3F">
        <w:trPr>
          <w:trHeight w:val="33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微软雅黑" w:hAnsi="Times New Roman" w:cs="Times New Roman"/>
                <w:kern w:val="0"/>
                <w:sz w:val="22"/>
                <w:szCs w:val="22"/>
              </w:rPr>
              <w:t>≤</w:t>
            </w:r>
            <w:r>
              <w:rPr>
                <w:rFonts w:ascii="Times New Roman" w:eastAsia="微软雅黑" w:hAnsi="Times New Roman" w:cs="Times New Roman"/>
                <w:kern w:val="0"/>
                <w:sz w:val="22"/>
                <w:szCs w:val="22"/>
              </w:rPr>
              <w:t xml:space="preserve"> </w:t>
            </w:r>
            <w:r w:rsidRPr="00881A3F">
              <w:rPr>
                <w:rFonts w:ascii="Times New Roman" w:eastAsia="宋体" w:hAnsi="Times New Roman" w:cs="Times New Roman"/>
                <w:kern w:val="0"/>
                <w:sz w:val="22"/>
                <w:szCs w:val="22"/>
              </w:rPr>
              <w:t>1 (0.45</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0.30)</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13 (4.23)</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1</w:t>
            </w:r>
            <w:bookmarkStart w:id="6" w:name="OLE_LINK1"/>
            <w:bookmarkStart w:id="7" w:name="OLE_LINK2"/>
            <w:bookmarkStart w:id="8" w:name="OLE_LINK7"/>
            <w:bookmarkStart w:id="9" w:name="OLE_LINK9"/>
            <w:bookmarkStart w:id="10" w:name="OLE_LINK17"/>
            <w:bookmarkStart w:id="11" w:name="OLE_LINK60"/>
            <w:bookmarkStart w:id="12" w:name="OLE_LINK63"/>
            <w:r w:rsidRPr="00D9060A">
              <w:rPr>
                <w:rFonts w:ascii="Times New Roman" w:eastAsia="宋体" w:hAnsi="Times New Roman" w:cs="Times New Roman"/>
                <w:kern w:val="0"/>
                <w:sz w:val="22"/>
              </w:rPr>
              <w:t>–</w:t>
            </w:r>
            <w:bookmarkEnd w:id="6"/>
            <w:bookmarkEnd w:id="7"/>
            <w:bookmarkEnd w:id="8"/>
            <w:bookmarkEnd w:id="9"/>
            <w:bookmarkEnd w:id="10"/>
            <w:bookmarkEnd w:id="11"/>
            <w:bookmarkEnd w:id="12"/>
            <w:r w:rsidRPr="00881A3F">
              <w:rPr>
                <w:rFonts w:ascii="Times New Roman" w:eastAsia="宋体" w:hAnsi="Times New Roman" w:cs="Times New Roman"/>
                <w:kern w:val="0"/>
                <w:sz w:val="22"/>
                <w:szCs w:val="22"/>
              </w:rPr>
              <w:t>2 (1.2</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0.40)</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16 (5.21)</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3</w:t>
            </w:r>
            <w:r w:rsidRPr="00D9060A">
              <w:rPr>
                <w:rFonts w:ascii="Times New Roman" w:eastAsia="宋体" w:hAnsi="Times New Roman" w:cs="Times New Roman"/>
                <w:kern w:val="0"/>
                <w:sz w:val="22"/>
              </w:rPr>
              <w:t>–</w:t>
            </w:r>
            <w:r w:rsidRPr="00881A3F">
              <w:rPr>
                <w:rFonts w:ascii="Times New Roman" w:eastAsia="宋体" w:hAnsi="Times New Roman" w:cs="Times New Roman"/>
                <w:kern w:val="0"/>
                <w:sz w:val="22"/>
                <w:szCs w:val="22"/>
              </w:rPr>
              <w:t>5 (4.04</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0.82)</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37 (12.05)</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6</w:t>
            </w:r>
            <w:r w:rsidRPr="00D9060A">
              <w:rPr>
                <w:rFonts w:ascii="Times New Roman" w:eastAsia="宋体" w:hAnsi="Times New Roman" w:cs="Times New Roman"/>
                <w:kern w:val="0"/>
                <w:sz w:val="22"/>
              </w:rPr>
              <w:t>–</w:t>
            </w:r>
            <w:r w:rsidRPr="00881A3F">
              <w:rPr>
                <w:rFonts w:ascii="Times New Roman" w:eastAsia="宋体" w:hAnsi="Times New Roman" w:cs="Times New Roman"/>
                <w:kern w:val="0"/>
                <w:sz w:val="22"/>
                <w:szCs w:val="22"/>
              </w:rPr>
              <w:t>10 (7.78</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1.39)</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42 (13.68)</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11</w:t>
            </w:r>
            <w:r w:rsidRPr="00D9060A">
              <w:rPr>
                <w:rFonts w:ascii="Times New Roman" w:eastAsia="宋体" w:hAnsi="Times New Roman" w:cs="Times New Roman"/>
                <w:kern w:val="0"/>
                <w:sz w:val="22"/>
              </w:rPr>
              <w:t>–</w:t>
            </w:r>
            <w:r w:rsidRPr="00881A3F">
              <w:rPr>
                <w:rFonts w:ascii="Times New Roman" w:eastAsia="宋体" w:hAnsi="Times New Roman" w:cs="Times New Roman"/>
                <w:kern w:val="0"/>
                <w:sz w:val="22"/>
                <w:szCs w:val="22"/>
              </w:rPr>
              <w:t>18 (12.72</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1.92)</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47 (15.31)</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19</w:t>
            </w:r>
            <w:r w:rsidRPr="00D9060A">
              <w:rPr>
                <w:rFonts w:ascii="Times New Roman" w:eastAsia="宋体" w:hAnsi="Times New Roman" w:cs="Times New Roman"/>
                <w:kern w:val="0"/>
                <w:sz w:val="22"/>
              </w:rPr>
              <w:t>–</w:t>
            </w:r>
            <w:r w:rsidRPr="00881A3F">
              <w:rPr>
                <w:rFonts w:ascii="Times New Roman" w:eastAsia="宋体" w:hAnsi="Times New Roman" w:cs="Times New Roman"/>
                <w:kern w:val="0"/>
                <w:sz w:val="22"/>
                <w:szCs w:val="22"/>
              </w:rPr>
              <w:t>40 (29.42</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5.56)</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66 (21.50)</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41</w:t>
            </w:r>
            <w:r w:rsidRPr="00D9060A">
              <w:rPr>
                <w:rFonts w:ascii="Times New Roman" w:eastAsia="宋体" w:hAnsi="Times New Roman" w:cs="Times New Roman"/>
                <w:kern w:val="0"/>
                <w:sz w:val="22"/>
              </w:rPr>
              <w:t>–</w:t>
            </w:r>
            <w:r w:rsidRPr="00881A3F">
              <w:rPr>
                <w:rFonts w:ascii="Times New Roman" w:eastAsia="宋体" w:hAnsi="Times New Roman" w:cs="Times New Roman"/>
                <w:kern w:val="0"/>
                <w:sz w:val="22"/>
                <w:szCs w:val="22"/>
              </w:rPr>
              <w:t>59 (50.34</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5.31)</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56 (18.24)</w:t>
            </w:r>
          </w:p>
        </w:tc>
      </w:tr>
      <w:tr w:rsidR="00174B10" w:rsidRPr="00881A3F" w:rsidTr="00881A3F">
        <w:trPr>
          <w:trHeight w:val="33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微软雅黑" w:hAnsi="Times New Roman" w:cs="Times New Roman"/>
                <w:kern w:val="0"/>
                <w:sz w:val="22"/>
                <w:szCs w:val="22"/>
              </w:rPr>
              <w:t>≥</w:t>
            </w:r>
            <w:r>
              <w:rPr>
                <w:rFonts w:ascii="Times New Roman" w:eastAsia="微软雅黑" w:hAnsi="Times New Roman" w:cs="Times New Roman"/>
                <w:kern w:val="0"/>
                <w:sz w:val="22"/>
                <w:szCs w:val="22"/>
              </w:rPr>
              <w:t xml:space="preserve"> </w:t>
            </w:r>
            <w:r w:rsidRPr="00881A3F">
              <w:rPr>
                <w:rFonts w:ascii="Times New Roman" w:eastAsia="宋体" w:hAnsi="Times New Roman" w:cs="Times New Roman"/>
                <w:kern w:val="0"/>
                <w:sz w:val="22"/>
                <w:szCs w:val="22"/>
              </w:rPr>
              <w:t>60 (63.73</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w:t>
            </w:r>
            <w:r>
              <w:rPr>
                <w:rFonts w:ascii="Times New Roman" w:eastAsia="宋体" w:hAnsi="Times New Roman" w:cs="Times New Roman"/>
                <w:kern w:val="0"/>
                <w:sz w:val="22"/>
                <w:szCs w:val="22"/>
              </w:rPr>
              <w:t xml:space="preserve"> </w:t>
            </w:r>
            <w:r w:rsidRPr="00881A3F">
              <w:rPr>
                <w:rFonts w:ascii="Times New Roman" w:eastAsia="宋体" w:hAnsi="Times New Roman" w:cs="Times New Roman"/>
                <w:kern w:val="0"/>
                <w:sz w:val="22"/>
                <w:szCs w:val="22"/>
              </w:rPr>
              <w:t>2.71)</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30 (9.77)</w:t>
            </w:r>
          </w:p>
        </w:tc>
      </w:tr>
      <w:tr w:rsidR="00174B10" w:rsidRPr="00881A3F" w:rsidTr="00881A3F">
        <w:trPr>
          <w:trHeight w:val="300"/>
        </w:trPr>
        <w:tc>
          <w:tcPr>
            <w:tcW w:w="4367"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Overall</w:t>
            </w:r>
          </w:p>
        </w:tc>
        <w:tc>
          <w:tcPr>
            <w:tcW w:w="2452"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307</w:t>
            </w:r>
          </w:p>
        </w:tc>
      </w:tr>
      <w:tr w:rsidR="00174B10" w:rsidRPr="00881A3F" w:rsidTr="00881A3F">
        <w:trPr>
          <w:trHeight w:val="300"/>
        </w:trPr>
        <w:tc>
          <w:tcPr>
            <w:tcW w:w="4367"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b/>
                <w:bCs/>
                <w:kern w:val="0"/>
                <w:sz w:val="22"/>
                <w:szCs w:val="22"/>
              </w:rPr>
            </w:pPr>
            <w:r w:rsidRPr="00881A3F">
              <w:rPr>
                <w:rFonts w:ascii="Times New Roman" w:eastAsia="宋体" w:hAnsi="Times New Roman" w:cs="Times New Roman"/>
                <w:b/>
                <w:bCs/>
                <w:kern w:val="0"/>
                <w:sz w:val="22"/>
                <w:szCs w:val="22"/>
              </w:rPr>
              <w:t>District</w:t>
            </w:r>
          </w:p>
        </w:tc>
        <w:tc>
          <w:tcPr>
            <w:tcW w:w="2452"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r>
      <w:tr w:rsidR="00174B10" w:rsidRPr="00881A3F" w:rsidTr="00881A3F">
        <w:trPr>
          <w:trHeight w:val="300"/>
        </w:trPr>
        <w:tc>
          <w:tcPr>
            <w:tcW w:w="4367"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Jing'an</w:t>
            </w:r>
          </w:p>
        </w:tc>
        <w:tc>
          <w:tcPr>
            <w:tcW w:w="2452"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47 (15.31)</w:t>
            </w:r>
          </w:p>
        </w:tc>
      </w:tr>
      <w:tr w:rsidR="00174B10" w:rsidRPr="00881A3F" w:rsidTr="00881A3F">
        <w:trPr>
          <w:trHeight w:val="300"/>
        </w:trPr>
        <w:tc>
          <w:tcPr>
            <w:tcW w:w="4367"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Changning</w:t>
            </w:r>
          </w:p>
        </w:tc>
        <w:tc>
          <w:tcPr>
            <w:tcW w:w="2452"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210 (68.40)</w:t>
            </w:r>
          </w:p>
        </w:tc>
      </w:tr>
      <w:tr w:rsidR="00174B10" w:rsidRPr="00881A3F" w:rsidTr="00881A3F">
        <w:trPr>
          <w:trHeight w:val="300"/>
        </w:trPr>
        <w:tc>
          <w:tcPr>
            <w:tcW w:w="4367"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Yangpu</w:t>
            </w:r>
          </w:p>
        </w:tc>
        <w:tc>
          <w:tcPr>
            <w:tcW w:w="2452"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50 (16.29)</w:t>
            </w: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b/>
                <w:bCs/>
                <w:kern w:val="0"/>
                <w:sz w:val="22"/>
                <w:szCs w:val="22"/>
              </w:rPr>
            </w:pPr>
            <w:r w:rsidRPr="00881A3F">
              <w:rPr>
                <w:rFonts w:ascii="Times New Roman" w:eastAsia="宋体" w:hAnsi="Times New Roman" w:cs="Times New Roman"/>
                <w:b/>
                <w:bCs/>
                <w:kern w:val="0"/>
                <w:sz w:val="22"/>
                <w:szCs w:val="22"/>
              </w:rPr>
              <w:t>Gender</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p>
        </w:tc>
      </w:tr>
      <w:tr w:rsidR="00174B10" w:rsidRPr="00881A3F" w:rsidTr="00881A3F">
        <w:trPr>
          <w:trHeight w:val="300"/>
        </w:trPr>
        <w:tc>
          <w:tcPr>
            <w:tcW w:w="6819" w:type="dxa"/>
            <w:gridSpan w:val="2"/>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Male</w:t>
            </w:r>
          </w:p>
        </w:tc>
        <w:tc>
          <w:tcPr>
            <w:tcW w:w="2405" w:type="dxa"/>
            <w:tcBorders>
              <w:top w:val="nil"/>
              <w:left w:val="nil"/>
              <w:bottom w:val="nil"/>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160 (52.12)</w:t>
            </w:r>
          </w:p>
        </w:tc>
      </w:tr>
      <w:tr w:rsidR="00174B10" w:rsidRPr="00881A3F" w:rsidTr="00881A3F">
        <w:trPr>
          <w:trHeight w:val="300"/>
        </w:trPr>
        <w:tc>
          <w:tcPr>
            <w:tcW w:w="6819" w:type="dxa"/>
            <w:gridSpan w:val="2"/>
            <w:tcBorders>
              <w:top w:val="nil"/>
              <w:left w:val="nil"/>
              <w:bottom w:val="single" w:sz="4" w:space="0" w:color="auto"/>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Female</w:t>
            </w:r>
          </w:p>
        </w:tc>
        <w:tc>
          <w:tcPr>
            <w:tcW w:w="2405" w:type="dxa"/>
            <w:tcBorders>
              <w:top w:val="nil"/>
              <w:left w:val="nil"/>
              <w:bottom w:val="single" w:sz="4" w:space="0" w:color="auto"/>
              <w:right w:val="nil"/>
            </w:tcBorders>
            <w:shd w:val="clear" w:color="auto" w:fill="auto"/>
            <w:noWrap/>
            <w:vAlign w:val="center"/>
            <w:hideMark/>
          </w:tcPr>
          <w:p w:rsidR="00174B10" w:rsidRPr="00881A3F" w:rsidRDefault="00174B10" w:rsidP="00DA60BD">
            <w:pPr>
              <w:widowControl/>
              <w:jc w:val="left"/>
              <w:rPr>
                <w:rFonts w:ascii="Times New Roman" w:eastAsia="宋体" w:hAnsi="Times New Roman" w:cs="Times New Roman"/>
                <w:kern w:val="0"/>
                <w:sz w:val="22"/>
                <w:szCs w:val="22"/>
              </w:rPr>
            </w:pPr>
            <w:r w:rsidRPr="00881A3F">
              <w:rPr>
                <w:rFonts w:ascii="Times New Roman" w:eastAsia="宋体" w:hAnsi="Times New Roman" w:cs="Times New Roman"/>
                <w:kern w:val="0"/>
                <w:sz w:val="22"/>
                <w:szCs w:val="22"/>
              </w:rPr>
              <w:t>147 (47.88)</w:t>
            </w:r>
          </w:p>
        </w:tc>
      </w:tr>
    </w:tbl>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Pr="00AA1994" w:rsidRDefault="00174B10" w:rsidP="008475ED">
      <w:pPr>
        <w:spacing w:line="360" w:lineRule="auto"/>
        <w:rPr>
          <w:rFonts w:ascii="Times New Roman" w:hAnsi="Times New Roman" w:cs="Times New Roman"/>
          <w:sz w:val="22"/>
          <w:szCs w:val="22"/>
        </w:rPr>
      </w:pPr>
    </w:p>
    <w:p w:rsidR="00174B10" w:rsidRDefault="00174B10" w:rsidP="008475ED">
      <w:pPr>
        <w:spacing w:line="360" w:lineRule="auto"/>
        <w:rPr>
          <w:rFonts w:ascii="Times New Roman" w:hAnsi="Times New Roman" w:cs="Times New Roman"/>
          <w:b/>
          <w:sz w:val="22"/>
          <w:szCs w:val="22"/>
        </w:rPr>
        <w:sectPr w:rsidR="00174B10" w:rsidSect="006972F4">
          <w:pgSz w:w="11906" w:h="16838"/>
          <w:pgMar w:top="1440" w:right="1080" w:bottom="1440" w:left="1080" w:header="851" w:footer="992" w:gutter="0"/>
          <w:cols w:space="425"/>
          <w:docGrid w:type="lines" w:linePitch="312"/>
        </w:sectPr>
      </w:pPr>
    </w:p>
    <w:p w:rsidR="00174B10" w:rsidRPr="00AA1994" w:rsidRDefault="00174B10" w:rsidP="008475ED">
      <w:pPr>
        <w:spacing w:line="360" w:lineRule="auto"/>
        <w:rPr>
          <w:rFonts w:ascii="Times New Roman" w:hAnsi="Times New Roman" w:cs="Times New Roman"/>
          <w:sz w:val="22"/>
          <w:szCs w:val="22"/>
        </w:rPr>
      </w:pPr>
      <w:r w:rsidRPr="00AA1994">
        <w:rPr>
          <w:rFonts w:ascii="Times New Roman" w:hAnsi="Times New Roman" w:cs="Times New Roman" w:hint="eastAsia"/>
          <w:b/>
          <w:sz w:val="22"/>
          <w:szCs w:val="22"/>
        </w:rPr>
        <w:lastRenderedPageBreak/>
        <w:t xml:space="preserve">Supplementary Table </w:t>
      </w:r>
      <w:r>
        <w:rPr>
          <w:rFonts w:ascii="Times New Roman" w:hAnsi="Times New Roman" w:cs="Times New Roman"/>
          <w:b/>
          <w:sz w:val="22"/>
          <w:szCs w:val="22"/>
        </w:rPr>
        <w:t>S</w:t>
      </w:r>
      <w:r w:rsidRPr="00AA1994">
        <w:rPr>
          <w:rFonts w:ascii="Times New Roman" w:hAnsi="Times New Roman" w:cs="Times New Roman" w:hint="eastAsia"/>
          <w:b/>
          <w:sz w:val="22"/>
          <w:szCs w:val="22"/>
        </w:rPr>
        <w:t xml:space="preserve">2 </w:t>
      </w:r>
      <w:r w:rsidRPr="00AA1994">
        <w:rPr>
          <w:rFonts w:ascii="Times New Roman" w:hAnsi="Times New Roman" w:cs="Times New Roman"/>
          <w:sz w:val="22"/>
          <w:szCs w:val="22"/>
        </w:rPr>
        <w:t>Information of enterovirus isolates used in micro-neutralization test</w:t>
      </w:r>
      <w:r w:rsidRPr="00AA1994">
        <w:rPr>
          <w:rFonts w:ascii="Times New Roman" w:hAnsi="Times New Roman" w:cs="Times New Roman" w:hint="eastAsia"/>
          <w:sz w:val="22"/>
          <w:szCs w:val="22"/>
        </w:rPr>
        <w:t>.</w:t>
      </w:r>
    </w:p>
    <w:tbl>
      <w:tblPr>
        <w:tblW w:w="8804" w:type="dxa"/>
        <w:tblInd w:w="93" w:type="dxa"/>
        <w:tblLook w:val="04A0" w:firstRow="1" w:lastRow="0" w:firstColumn="1" w:lastColumn="0" w:noHBand="0" w:noVBand="1"/>
      </w:tblPr>
      <w:tblGrid>
        <w:gridCol w:w="1575"/>
        <w:gridCol w:w="1842"/>
        <w:gridCol w:w="1134"/>
        <w:gridCol w:w="2694"/>
        <w:gridCol w:w="1559"/>
      </w:tblGrid>
      <w:tr w:rsidR="00174B10" w:rsidRPr="00AA1994" w:rsidTr="00B729DF">
        <w:trPr>
          <w:trHeight w:val="285"/>
        </w:trPr>
        <w:tc>
          <w:tcPr>
            <w:tcW w:w="1575" w:type="dxa"/>
            <w:tcBorders>
              <w:top w:val="single" w:sz="4" w:space="0" w:color="auto"/>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b/>
                <w:bCs/>
                <w:kern w:val="0"/>
                <w:sz w:val="22"/>
                <w:szCs w:val="22"/>
              </w:rPr>
            </w:pPr>
            <w:r w:rsidRPr="00AA1994">
              <w:rPr>
                <w:rFonts w:ascii="Times New Roman" w:eastAsia="宋体" w:hAnsi="Times New Roman" w:cs="Times New Roman"/>
                <w:b/>
                <w:bCs/>
                <w:kern w:val="0"/>
                <w:sz w:val="22"/>
                <w:szCs w:val="22"/>
              </w:rPr>
              <w:t>Viruses</w:t>
            </w:r>
          </w:p>
        </w:tc>
        <w:tc>
          <w:tcPr>
            <w:tcW w:w="1842" w:type="dxa"/>
            <w:tcBorders>
              <w:top w:val="single" w:sz="4" w:space="0" w:color="auto"/>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b/>
                <w:bCs/>
                <w:kern w:val="0"/>
                <w:sz w:val="22"/>
                <w:szCs w:val="22"/>
              </w:rPr>
            </w:pPr>
            <w:r w:rsidRPr="00AA1994">
              <w:rPr>
                <w:rFonts w:ascii="Times New Roman" w:eastAsia="宋体" w:hAnsi="Times New Roman" w:cs="Times New Roman"/>
                <w:b/>
                <w:bCs/>
                <w:kern w:val="0"/>
                <w:sz w:val="22"/>
                <w:szCs w:val="22"/>
              </w:rPr>
              <w:t>Origin</w:t>
            </w:r>
          </w:p>
        </w:tc>
        <w:tc>
          <w:tcPr>
            <w:tcW w:w="1134" w:type="dxa"/>
            <w:tcBorders>
              <w:top w:val="single" w:sz="4" w:space="0" w:color="auto"/>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b/>
                <w:bCs/>
                <w:kern w:val="0"/>
                <w:sz w:val="22"/>
                <w:szCs w:val="22"/>
              </w:rPr>
            </w:pPr>
            <w:r w:rsidRPr="00AA1994">
              <w:rPr>
                <w:rFonts w:ascii="Times New Roman" w:eastAsia="宋体" w:hAnsi="Times New Roman" w:cs="Times New Roman"/>
                <w:b/>
                <w:bCs/>
                <w:kern w:val="0"/>
                <w:sz w:val="22"/>
                <w:szCs w:val="22"/>
              </w:rPr>
              <w:t>Year</w:t>
            </w:r>
          </w:p>
        </w:tc>
        <w:tc>
          <w:tcPr>
            <w:tcW w:w="2694" w:type="dxa"/>
            <w:tcBorders>
              <w:top w:val="single" w:sz="4" w:space="0" w:color="auto"/>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b/>
                <w:bCs/>
                <w:kern w:val="0"/>
                <w:sz w:val="22"/>
                <w:szCs w:val="22"/>
              </w:rPr>
            </w:pPr>
            <w:r w:rsidRPr="00AA1994">
              <w:rPr>
                <w:rFonts w:ascii="Times New Roman" w:eastAsia="宋体" w:hAnsi="Times New Roman" w:cs="Times New Roman"/>
                <w:b/>
                <w:bCs/>
                <w:kern w:val="0"/>
                <w:sz w:val="22"/>
                <w:szCs w:val="22"/>
              </w:rPr>
              <w:t>GenBank Accession No</w:t>
            </w:r>
          </w:p>
        </w:tc>
        <w:tc>
          <w:tcPr>
            <w:tcW w:w="1559" w:type="dxa"/>
            <w:tcBorders>
              <w:top w:val="single" w:sz="4" w:space="0" w:color="auto"/>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b/>
                <w:bCs/>
                <w:kern w:val="0"/>
                <w:sz w:val="22"/>
                <w:szCs w:val="22"/>
              </w:rPr>
            </w:pPr>
            <w:r w:rsidRPr="00AA1994">
              <w:rPr>
                <w:rFonts w:ascii="Times New Roman" w:eastAsia="宋体" w:hAnsi="Times New Roman" w:cs="Times New Roman"/>
                <w:b/>
                <w:bCs/>
                <w:kern w:val="0"/>
                <w:sz w:val="22"/>
                <w:szCs w:val="22"/>
              </w:rPr>
              <w:t>Genotype</w:t>
            </w:r>
          </w:p>
        </w:tc>
      </w:tr>
      <w:tr w:rsidR="00174B10" w:rsidRPr="00AA1994" w:rsidTr="00B729DF">
        <w:trPr>
          <w:trHeight w:val="300"/>
        </w:trPr>
        <w:tc>
          <w:tcPr>
            <w:tcW w:w="1575"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EV-A71</w:t>
            </w:r>
          </w:p>
        </w:tc>
        <w:tc>
          <w:tcPr>
            <w:tcW w:w="1842"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Chinese CDC</w:t>
            </w:r>
          </w:p>
        </w:tc>
        <w:tc>
          <w:tcPr>
            <w:tcW w:w="113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2008</w:t>
            </w:r>
          </w:p>
        </w:tc>
        <w:tc>
          <w:tcPr>
            <w:tcW w:w="269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EU703812</w:t>
            </w:r>
          </w:p>
        </w:tc>
        <w:tc>
          <w:tcPr>
            <w:tcW w:w="1559"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C4a</w:t>
            </w:r>
          </w:p>
        </w:tc>
      </w:tr>
      <w:tr w:rsidR="00174B10" w:rsidRPr="00AA1994" w:rsidTr="00B729DF">
        <w:trPr>
          <w:trHeight w:val="300"/>
        </w:trPr>
        <w:tc>
          <w:tcPr>
            <w:tcW w:w="1575"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CVA16</w:t>
            </w:r>
          </w:p>
        </w:tc>
        <w:tc>
          <w:tcPr>
            <w:tcW w:w="1842"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Chinese CDC</w:t>
            </w:r>
          </w:p>
        </w:tc>
        <w:tc>
          <w:tcPr>
            <w:tcW w:w="113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2007</w:t>
            </w:r>
          </w:p>
        </w:tc>
        <w:tc>
          <w:tcPr>
            <w:tcW w:w="269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GQ429229</w:t>
            </w:r>
          </w:p>
        </w:tc>
        <w:tc>
          <w:tcPr>
            <w:tcW w:w="1559"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B1b</w:t>
            </w:r>
          </w:p>
        </w:tc>
      </w:tr>
      <w:tr w:rsidR="00174B10" w:rsidRPr="00AA1994" w:rsidTr="00B729DF">
        <w:trPr>
          <w:trHeight w:val="300"/>
        </w:trPr>
        <w:tc>
          <w:tcPr>
            <w:tcW w:w="1575"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CVA6</w:t>
            </w:r>
          </w:p>
        </w:tc>
        <w:tc>
          <w:tcPr>
            <w:tcW w:w="1842"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Shanghai CDC</w:t>
            </w:r>
          </w:p>
        </w:tc>
        <w:tc>
          <w:tcPr>
            <w:tcW w:w="113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2016</w:t>
            </w:r>
          </w:p>
        </w:tc>
        <w:tc>
          <w:tcPr>
            <w:tcW w:w="269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OR271573</w:t>
            </w:r>
          </w:p>
        </w:tc>
        <w:tc>
          <w:tcPr>
            <w:tcW w:w="1559"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D3a</w:t>
            </w:r>
          </w:p>
        </w:tc>
      </w:tr>
      <w:tr w:rsidR="00174B10" w:rsidRPr="00AA1994" w:rsidTr="00B729DF">
        <w:trPr>
          <w:trHeight w:val="300"/>
        </w:trPr>
        <w:tc>
          <w:tcPr>
            <w:tcW w:w="1575"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CVA10</w:t>
            </w:r>
          </w:p>
        </w:tc>
        <w:tc>
          <w:tcPr>
            <w:tcW w:w="1842"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Shanghai CDC</w:t>
            </w:r>
          </w:p>
        </w:tc>
        <w:tc>
          <w:tcPr>
            <w:tcW w:w="113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2018</w:t>
            </w:r>
          </w:p>
        </w:tc>
        <w:tc>
          <w:tcPr>
            <w:tcW w:w="2694"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MW929287</w:t>
            </w:r>
          </w:p>
        </w:tc>
        <w:tc>
          <w:tcPr>
            <w:tcW w:w="1559" w:type="dxa"/>
            <w:tcBorders>
              <w:top w:val="nil"/>
              <w:left w:val="nil"/>
              <w:bottom w:val="nil"/>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w:t>
            </w:r>
          </w:p>
        </w:tc>
      </w:tr>
      <w:tr w:rsidR="00174B10" w:rsidRPr="00AA1994" w:rsidTr="00B729DF">
        <w:trPr>
          <w:trHeight w:val="300"/>
        </w:trPr>
        <w:tc>
          <w:tcPr>
            <w:tcW w:w="1575" w:type="dxa"/>
            <w:tcBorders>
              <w:top w:val="nil"/>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CVA4</w:t>
            </w:r>
          </w:p>
        </w:tc>
        <w:tc>
          <w:tcPr>
            <w:tcW w:w="1842" w:type="dxa"/>
            <w:tcBorders>
              <w:top w:val="nil"/>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Shanghai CDC</w:t>
            </w:r>
          </w:p>
        </w:tc>
        <w:tc>
          <w:tcPr>
            <w:tcW w:w="1134" w:type="dxa"/>
            <w:tcBorders>
              <w:top w:val="nil"/>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2019</w:t>
            </w:r>
          </w:p>
        </w:tc>
        <w:tc>
          <w:tcPr>
            <w:tcW w:w="2694" w:type="dxa"/>
            <w:tcBorders>
              <w:top w:val="nil"/>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OR271574</w:t>
            </w:r>
          </w:p>
        </w:tc>
        <w:tc>
          <w:tcPr>
            <w:tcW w:w="1559" w:type="dxa"/>
            <w:tcBorders>
              <w:top w:val="nil"/>
              <w:left w:val="nil"/>
              <w:bottom w:val="single" w:sz="4" w:space="0" w:color="auto"/>
              <w:right w:val="nil"/>
            </w:tcBorders>
            <w:shd w:val="clear" w:color="auto" w:fill="auto"/>
            <w:noWrap/>
            <w:vAlign w:val="center"/>
            <w:hideMark/>
          </w:tcPr>
          <w:p w:rsidR="00174B10" w:rsidRPr="00AA1994" w:rsidRDefault="00174B10" w:rsidP="00B729DF">
            <w:pPr>
              <w:widowControl/>
              <w:jc w:val="left"/>
              <w:rPr>
                <w:rFonts w:ascii="Times New Roman" w:eastAsia="宋体" w:hAnsi="Times New Roman" w:cs="Times New Roman"/>
                <w:kern w:val="0"/>
                <w:sz w:val="22"/>
                <w:szCs w:val="22"/>
              </w:rPr>
            </w:pPr>
            <w:r w:rsidRPr="00AA1994">
              <w:rPr>
                <w:rFonts w:ascii="Times New Roman" w:eastAsia="宋体" w:hAnsi="Times New Roman" w:cs="Times New Roman"/>
                <w:kern w:val="0"/>
                <w:sz w:val="22"/>
                <w:szCs w:val="22"/>
              </w:rPr>
              <w:t>C2</w:t>
            </w:r>
          </w:p>
        </w:tc>
      </w:tr>
    </w:tbl>
    <w:p w:rsidR="00174B10" w:rsidRPr="00AA1994" w:rsidRDefault="00174B10" w:rsidP="00881A3F">
      <w:pPr>
        <w:adjustRightInd w:val="0"/>
        <w:snapToGrid w:val="0"/>
        <w:spacing w:line="360" w:lineRule="auto"/>
      </w:pPr>
      <w:r w:rsidRPr="00AA1994">
        <w:rPr>
          <w:rFonts w:ascii="Times New Roman" w:eastAsia="宋体" w:hAnsi="Times New Roman" w:cs="Times New Roman"/>
          <w:kern w:val="0"/>
          <w:sz w:val="22"/>
          <w:szCs w:val="22"/>
        </w:rPr>
        <w:t xml:space="preserve">The EV-A71and CVA16 isolates were kindly provided by National Institute for Viral Disease Control and Prevention, Chinese CDC. The CVA6 and CVA10 isolates were isolated from HFMD patients in 2016 and 2018. The CVA4 isolates were isolated </w:t>
      </w:r>
      <w:r w:rsidR="00E644B9" w:rsidRPr="00E644B9">
        <w:rPr>
          <w:rFonts w:ascii="Times New Roman" w:eastAsia="宋体" w:hAnsi="Times New Roman" w:cs="Times New Roman"/>
          <w:kern w:val="0"/>
          <w:sz w:val="22"/>
          <w:szCs w:val="22"/>
        </w:rPr>
        <w:t>in 2</w:t>
      </w:r>
      <w:r w:rsidR="00E644B9" w:rsidRPr="00AA1994">
        <w:rPr>
          <w:rFonts w:ascii="Times New Roman" w:eastAsia="宋体" w:hAnsi="Times New Roman" w:cs="Times New Roman"/>
          <w:kern w:val="0"/>
          <w:sz w:val="22"/>
          <w:szCs w:val="22"/>
        </w:rPr>
        <w:t>019</w:t>
      </w:r>
      <w:r w:rsidR="00E644B9">
        <w:rPr>
          <w:rFonts w:ascii="Times New Roman" w:eastAsia="宋体" w:hAnsi="Times New Roman" w:cs="Times New Roman"/>
          <w:kern w:val="0"/>
          <w:sz w:val="22"/>
          <w:szCs w:val="22"/>
        </w:rPr>
        <w:t xml:space="preserve"> </w:t>
      </w:r>
      <w:r w:rsidRPr="00AA1994">
        <w:rPr>
          <w:rFonts w:ascii="Times New Roman" w:eastAsia="宋体" w:hAnsi="Times New Roman" w:cs="Times New Roman"/>
          <w:kern w:val="0"/>
          <w:sz w:val="22"/>
          <w:szCs w:val="22"/>
        </w:rPr>
        <w:t>from</w:t>
      </w:r>
      <w:r w:rsidR="00733B52">
        <w:rPr>
          <w:rFonts w:ascii="Times New Roman" w:eastAsia="宋体" w:hAnsi="Times New Roman" w:cs="Times New Roman" w:hint="eastAsia"/>
          <w:kern w:val="0"/>
          <w:sz w:val="22"/>
          <w:szCs w:val="22"/>
        </w:rPr>
        <w:t xml:space="preserve"> </w:t>
      </w:r>
      <w:r w:rsidR="00E644B9">
        <w:rPr>
          <w:rFonts w:ascii="Times New Roman" w:eastAsia="宋体" w:hAnsi="Times New Roman" w:cs="Times New Roman"/>
          <w:kern w:val="0"/>
          <w:sz w:val="22"/>
          <w:szCs w:val="22"/>
        </w:rPr>
        <w:t xml:space="preserve">a </w:t>
      </w:r>
      <w:r w:rsidRPr="00E644B9">
        <w:rPr>
          <w:rFonts w:ascii="Times New Roman" w:eastAsia="宋体" w:hAnsi="Times New Roman" w:cs="Times New Roman"/>
          <w:kern w:val="0"/>
          <w:sz w:val="22"/>
          <w:szCs w:val="22"/>
        </w:rPr>
        <w:t>patient</w:t>
      </w:r>
      <w:r w:rsidR="00E644B9" w:rsidRPr="00E644B9">
        <w:rPr>
          <w:rFonts w:ascii="Times New Roman" w:eastAsia="宋体" w:hAnsi="Times New Roman" w:cs="Times New Roman"/>
          <w:kern w:val="0"/>
          <w:sz w:val="22"/>
          <w:szCs w:val="22"/>
        </w:rPr>
        <w:t xml:space="preserve"> </w:t>
      </w:r>
      <w:r w:rsidR="00E644B9">
        <w:rPr>
          <w:rFonts w:ascii="Times New Roman" w:eastAsia="宋体" w:hAnsi="Times New Roman" w:cs="Times New Roman"/>
          <w:kern w:val="0"/>
          <w:sz w:val="22"/>
          <w:szCs w:val="22"/>
        </w:rPr>
        <w:t xml:space="preserve">with </w:t>
      </w:r>
      <w:r w:rsidR="00E644B9" w:rsidRPr="00E644B9">
        <w:rPr>
          <w:rFonts w:ascii="Times New Roman" w:eastAsia="宋体" w:hAnsi="Times New Roman" w:cs="Times New Roman"/>
          <w:kern w:val="0"/>
          <w:sz w:val="22"/>
          <w:szCs w:val="22"/>
        </w:rPr>
        <w:t>herpangina</w:t>
      </w:r>
      <w:r w:rsidRPr="00AA1994">
        <w:rPr>
          <w:rFonts w:ascii="Times New Roman" w:eastAsia="宋体" w:hAnsi="Times New Roman" w:cs="Times New Roman"/>
          <w:kern w:val="0"/>
          <w:sz w:val="22"/>
          <w:szCs w:val="22"/>
        </w:rPr>
        <w:t>.</w:t>
      </w:r>
    </w:p>
    <w:p w:rsidR="00174B10" w:rsidRPr="00AA1994" w:rsidRDefault="00174B10"/>
    <w:p w:rsidR="00174B10" w:rsidRDefault="00174B10"/>
    <w:p w:rsidR="00174B10" w:rsidRPr="00E644B9" w:rsidRDefault="00174B10"/>
    <w:p w:rsidR="00174B10" w:rsidRPr="00DA0B70" w:rsidRDefault="00174B10"/>
    <w:p w:rsidR="00623520" w:rsidRDefault="00623520"/>
    <w:sectPr w:rsidR="00623520" w:rsidSect="006972F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96" w:rsidRDefault="00A74D96">
      <w:r>
        <w:separator/>
      </w:r>
    </w:p>
  </w:endnote>
  <w:endnote w:type="continuationSeparator" w:id="0">
    <w:p w:rsidR="00A74D96" w:rsidRDefault="00A7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094878"/>
      <w:docPartObj>
        <w:docPartGallery w:val="Page Numbers (Bottom of Page)"/>
        <w:docPartUnique/>
      </w:docPartObj>
    </w:sdtPr>
    <w:sdtEndPr/>
    <w:sdtContent>
      <w:p w:rsidR="00220140" w:rsidRDefault="00745646">
        <w:pPr>
          <w:pStyle w:val="a4"/>
          <w:jc w:val="center"/>
        </w:pPr>
        <w:r>
          <w:fldChar w:fldCharType="begin"/>
        </w:r>
        <w:r>
          <w:instrText>PAGE   \* MERGEFORMAT</w:instrText>
        </w:r>
        <w:r>
          <w:fldChar w:fldCharType="separate"/>
        </w:r>
        <w:r w:rsidR="001E66AF" w:rsidRPr="001E66AF">
          <w:rPr>
            <w:noProof/>
            <w:lang w:val="zh-CN"/>
          </w:rPr>
          <w:t>2</w:t>
        </w:r>
        <w:r>
          <w:fldChar w:fldCharType="end"/>
        </w:r>
      </w:p>
    </w:sdtContent>
  </w:sdt>
  <w:p w:rsidR="00220140" w:rsidRDefault="00A74D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96" w:rsidRDefault="00A74D96">
      <w:r>
        <w:separator/>
      </w:r>
    </w:p>
  </w:footnote>
  <w:footnote w:type="continuationSeparator" w:id="0">
    <w:p w:rsidR="00A74D96" w:rsidRDefault="00A7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881A3F" w:rsidRDefault="00745646">
        <w:pPr>
          <w:pStyle w:val="a3"/>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1E66A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E66AF">
          <w:rPr>
            <w:b/>
            <w:bCs/>
            <w:noProof/>
          </w:rPr>
          <w:t>6</w:t>
        </w:r>
        <w:r>
          <w:rPr>
            <w:b/>
            <w:bCs/>
            <w:sz w:val="24"/>
            <w:szCs w:val="24"/>
          </w:rPr>
          <w:fldChar w:fldCharType="end"/>
        </w:r>
      </w:p>
    </w:sdtContent>
  </w:sdt>
  <w:p w:rsidR="00881A3F" w:rsidRDefault="00A74D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74B10"/>
    <w:rsid w:val="00174B10"/>
    <w:rsid w:val="001E66AF"/>
    <w:rsid w:val="00623520"/>
    <w:rsid w:val="006972F4"/>
    <w:rsid w:val="00733B52"/>
    <w:rsid w:val="00745646"/>
    <w:rsid w:val="0091634E"/>
    <w:rsid w:val="00A74D96"/>
    <w:rsid w:val="00AD1D07"/>
    <w:rsid w:val="00DA0B70"/>
    <w:rsid w:val="00E6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8CF4C-3CD4-4862-A724-302DA3BF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B1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B10"/>
    <w:rPr>
      <w:sz w:val="18"/>
      <w:szCs w:val="18"/>
    </w:rPr>
  </w:style>
  <w:style w:type="paragraph" w:styleId="a4">
    <w:name w:val="footer"/>
    <w:basedOn w:val="a"/>
    <w:link w:val="Char0"/>
    <w:uiPriority w:val="99"/>
    <w:unhideWhenUsed/>
    <w:rsid w:val="00174B10"/>
    <w:pPr>
      <w:tabs>
        <w:tab w:val="center" w:pos="4153"/>
        <w:tab w:val="right" w:pos="8306"/>
      </w:tabs>
      <w:snapToGrid w:val="0"/>
      <w:jc w:val="left"/>
    </w:pPr>
    <w:rPr>
      <w:sz w:val="18"/>
      <w:szCs w:val="18"/>
    </w:rPr>
  </w:style>
  <w:style w:type="character" w:customStyle="1" w:styleId="Char0">
    <w:name w:val="页脚 Char"/>
    <w:basedOn w:val="a0"/>
    <w:link w:val="a4"/>
    <w:uiPriority w:val="99"/>
    <w:rsid w:val="00174B10"/>
    <w:rPr>
      <w:sz w:val="18"/>
      <w:szCs w:val="18"/>
    </w:rPr>
  </w:style>
  <w:style w:type="paragraph" w:customStyle="1" w:styleId="EndNoteBibliographyTitle">
    <w:name w:val="EndNote Bibliography Title"/>
    <w:basedOn w:val="a"/>
    <w:link w:val="EndNoteBibliographyTitleChar"/>
    <w:rsid w:val="00174B10"/>
    <w:pPr>
      <w:jc w:val="center"/>
    </w:pPr>
    <w:rPr>
      <w:rFonts w:ascii="Calibri" w:hAnsi="Calibri"/>
      <w:noProof/>
      <w:sz w:val="20"/>
    </w:rPr>
  </w:style>
  <w:style w:type="character" w:customStyle="1" w:styleId="EndNoteBibliographyTitleChar">
    <w:name w:val="EndNote Bibliography Title Char"/>
    <w:basedOn w:val="a0"/>
    <w:link w:val="EndNoteBibliographyTitle"/>
    <w:rsid w:val="00174B10"/>
    <w:rPr>
      <w:rFonts w:ascii="Calibri" w:hAnsi="Calibri"/>
      <w:noProof/>
      <w:sz w:val="20"/>
      <w:szCs w:val="24"/>
    </w:rPr>
  </w:style>
  <w:style w:type="paragraph" w:customStyle="1" w:styleId="EndNoteBibliography">
    <w:name w:val="EndNote Bibliography"/>
    <w:basedOn w:val="a"/>
    <w:link w:val="EndNoteBibliographyChar"/>
    <w:rsid w:val="00174B10"/>
    <w:rPr>
      <w:rFonts w:ascii="Calibri" w:hAnsi="Calibri"/>
      <w:noProof/>
      <w:sz w:val="20"/>
    </w:rPr>
  </w:style>
  <w:style w:type="character" w:customStyle="1" w:styleId="EndNoteBibliographyChar">
    <w:name w:val="EndNote Bibliography Char"/>
    <w:basedOn w:val="a0"/>
    <w:link w:val="EndNoteBibliography"/>
    <w:rsid w:val="00174B10"/>
    <w:rPr>
      <w:rFonts w:ascii="Calibri" w:hAnsi="Calibri"/>
      <w:noProof/>
      <w:sz w:val="20"/>
      <w:szCs w:val="24"/>
    </w:rPr>
  </w:style>
  <w:style w:type="character" w:styleId="a5">
    <w:name w:val="Hyperlink"/>
    <w:basedOn w:val="a0"/>
    <w:uiPriority w:val="99"/>
    <w:unhideWhenUsed/>
    <w:rsid w:val="00174B10"/>
    <w:rPr>
      <w:color w:val="0000FF" w:themeColor="hyperlink"/>
      <w:u w:val="single"/>
    </w:rPr>
  </w:style>
  <w:style w:type="character" w:styleId="a6">
    <w:name w:val="line number"/>
    <w:basedOn w:val="a0"/>
    <w:uiPriority w:val="99"/>
    <w:semiHidden/>
    <w:unhideWhenUsed/>
    <w:rsid w:val="00174B10"/>
  </w:style>
  <w:style w:type="paragraph" w:styleId="a7">
    <w:name w:val="Balloon Text"/>
    <w:basedOn w:val="a"/>
    <w:link w:val="Char1"/>
    <w:uiPriority w:val="99"/>
    <w:semiHidden/>
    <w:unhideWhenUsed/>
    <w:rsid w:val="00174B10"/>
    <w:rPr>
      <w:sz w:val="18"/>
      <w:szCs w:val="18"/>
    </w:rPr>
  </w:style>
  <w:style w:type="character" w:customStyle="1" w:styleId="Char1">
    <w:name w:val="批注框文本 Char"/>
    <w:basedOn w:val="a0"/>
    <w:link w:val="a7"/>
    <w:uiPriority w:val="99"/>
    <w:semiHidden/>
    <w:rsid w:val="00174B10"/>
    <w:rPr>
      <w:sz w:val="18"/>
      <w:szCs w:val="18"/>
    </w:rPr>
  </w:style>
  <w:style w:type="paragraph" w:customStyle="1" w:styleId="AuthorList">
    <w:name w:val="Author List"/>
    <w:aliases w:val="Keywords,Abstract"/>
    <w:basedOn w:val="a8"/>
    <w:next w:val="a"/>
    <w:uiPriority w:val="1"/>
    <w:qFormat/>
    <w:rsid w:val="00174B10"/>
    <w:pPr>
      <w:widowControl/>
      <w:spacing w:after="240" w:line="240" w:lineRule="auto"/>
      <w:jc w:val="left"/>
      <w:outlineLvl w:val="9"/>
    </w:pPr>
    <w:rPr>
      <w:rFonts w:ascii="Times New Roman" w:eastAsiaTheme="minorEastAsia" w:hAnsi="Times New Roman" w:cs="Times New Roman"/>
      <w:bCs w:val="0"/>
      <w:kern w:val="0"/>
      <w:sz w:val="24"/>
      <w:szCs w:val="24"/>
      <w:lang w:eastAsia="en-US"/>
    </w:rPr>
  </w:style>
  <w:style w:type="character" w:styleId="a9">
    <w:name w:val="annotation reference"/>
    <w:basedOn w:val="a0"/>
    <w:uiPriority w:val="99"/>
    <w:semiHidden/>
    <w:unhideWhenUsed/>
    <w:rsid w:val="00174B10"/>
    <w:rPr>
      <w:sz w:val="21"/>
      <w:szCs w:val="21"/>
    </w:rPr>
  </w:style>
  <w:style w:type="paragraph" w:styleId="aa">
    <w:name w:val="annotation text"/>
    <w:basedOn w:val="a"/>
    <w:link w:val="Char2"/>
    <w:uiPriority w:val="99"/>
    <w:semiHidden/>
    <w:unhideWhenUsed/>
    <w:rsid w:val="00174B10"/>
    <w:pPr>
      <w:jc w:val="left"/>
    </w:pPr>
    <w:rPr>
      <w:szCs w:val="22"/>
    </w:rPr>
  </w:style>
  <w:style w:type="character" w:customStyle="1" w:styleId="Char2">
    <w:name w:val="批注文字 Char"/>
    <w:basedOn w:val="a0"/>
    <w:link w:val="aa"/>
    <w:uiPriority w:val="99"/>
    <w:semiHidden/>
    <w:rsid w:val="00174B10"/>
  </w:style>
  <w:style w:type="paragraph" w:styleId="a8">
    <w:name w:val="Subtitle"/>
    <w:basedOn w:val="a"/>
    <w:next w:val="a"/>
    <w:link w:val="Char3"/>
    <w:uiPriority w:val="11"/>
    <w:qFormat/>
    <w:rsid w:val="00174B1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8"/>
    <w:uiPriority w:val="11"/>
    <w:rsid w:val="00174B10"/>
    <w:rPr>
      <w:rFonts w:asciiTheme="majorHAnsi" w:eastAsia="宋体" w:hAnsiTheme="majorHAnsi" w:cstheme="majorBidi"/>
      <w:b/>
      <w:bCs/>
      <w:kern w:val="28"/>
      <w:sz w:val="32"/>
      <w:szCs w:val="32"/>
    </w:rPr>
  </w:style>
  <w:style w:type="paragraph" w:styleId="ab">
    <w:name w:val="annotation subject"/>
    <w:basedOn w:val="aa"/>
    <w:next w:val="aa"/>
    <w:link w:val="Char4"/>
    <w:uiPriority w:val="99"/>
    <w:semiHidden/>
    <w:unhideWhenUsed/>
    <w:rsid w:val="00174B10"/>
    <w:rPr>
      <w:b/>
      <w:bCs/>
      <w:szCs w:val="24"/>
    </w:rPr>
  </w:style>
  <w:style w:type="character" w:customStyle="1" w:styleId="Char4">
    <w:name w:val="批注主题 Char"/>
    <w:basedOn w:val="Char2"/>
    <w:link w:val="ab"/>
    <w:uiPriority w:val="99"/>
    <w:semiHidden/>
    <w:rsid w:val="00174B1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gzdt/2009-06/04/content_1332078.ht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王嘉瑜</dc:creator>
  <cp:lastModifiedBy>VS</cp:lastModifiedBy>
  <cp:revision>2</cp:revision>
  <dcterms:created xsi:type="dcterms:W3CDTF">2024-05-20T09:36:00Z</dcterms:created>
  <dcterms:modified xsi:type="dcterms:W3CDTF">2024-05-20T09:36:00Z</dcterms:modified>
</cp:coreProperties>
</file>